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default"/>
          <w:b w:val="0"/>
          <w:bCs/>
        </w:rPr>
      </w:pPr>
    </w:p>
    <w:p>
      <w:pPr>
        <w:pStyle w:val="3"/>
        <w:numPr>
          <w:ilvl w:val="0"/>
          <w:numId w:val="0"/>
        </w:numPr>
        <w:bidi w:val="0"/>
        <w:ind w:leftChars="0"/>
        <w:jc w:val="center"/>
        <w:rPr>
          <w:rFonts w:hint="default"/>
          <w:b w:val="0"/>
          <w:bCs/>
        </w:rPr>
      </w:pPr>
    </w:p>
    <w:p>
      <w:pPr>
        <w:pStyle w:val="3"/>
        <w:numPr>
          <w:ilvl w:val="0"/>
          <w:numId w:val="0"/>
        </w:numPr>
        <w:bidi w:val="0"/>
        <w:ind w:leftChars="0"/>
        <w:jc w:val="center"/>
        <w:rPr>
          <w:rFonts w:hint="eastAsia"/>
          <w:b w:val="0"/>
          <w:bCs/>
          <w:sz w:val="32"/>
          <w:szCs w:val="32"/>
          <w:u w:val="none"/>
          <w:lang w:val="en-US" w:eastAsia="zh-CN"/>
        </w:rPr>
      </w:pPr>
      <w:r>
        <w:rPr>
          <w:rFonts w:hint="default"/>
          <w:b w:val="0"/>
          <w:bCs/>
          <w:sz w:val="32"/>
          <w:szCs w:val="32"/>
        </w:rPr>
        <w:t>深圳市律师协会</w:t>
      </w:r>
      <w:r>
        <w:rPr>
          <w:rFonts w:hint="eastAsia"/>
          <w:b w:val="0"/>
          <w:bCs/>
          <w:sz w:val="32"/>
          <w:szCs w:val="32"/>
          <w:u w:val="single"/>
          <w:lang w:val="en-US" w:eastAsia="zh-CN"/>
        </w:rPr>
        <w:t>采购制作2022年度专门委、专业委、区工委及秘书处评优表彰奖牌及证书</w:t>
      </w:r>
      <w:r>
        <w:rPr>
          <w:rFonts w:hint="eastAsia"/>
          <w:b w:val="0"/>
          <w:bCs/>
          <w:sz w:val="32"/>
          <w:szCs w:val="32"/>
          <w:u w:val="none"/>
          <w:lang w:val="en-US" w:eastAsia="zh-CN"/>
        </w:rPr>
        <w:t>项目</w:t>
      </w:r>
    </w:p>
    <w:p>
      <w:pPr>
        <w:jc w:val="both"/>
        <w:rPr>
          <w:rFonts w:hint="eastAsia" w:ascii="宋体" w:hAnsi="宋体" w:cs="宋体"/>
          <w:b/>
          <w:sz w:val="32"/>
          <w:szCs w:val="32"/>
        </w:rPr>
      </w:pPr>
    </w:p>
    <w:p>
      <w:pPr>
        <w:pStyle w:val="4"/>
        <w:rPr>
          <w:rFonts w:hint="eastAsia" w:ascii="宋体" w:hAnsi="宋体" w:cs="宋体"/>
          <w:sz w:val="32"/>
          <w:szCs w:val="32"/>
        </w:rPr>
      </w:pPr>
    </w:p>
    <w:p>
      <w:pPr>
        <w:jc w:val="center"/>
        <w:rPr>
          <w:rFonts w:hint="eastAsia" w:ascii="宋体" w:hAnsi="宋体" w:cs="宋体"/>
          <w:b/>
          <w:sz w:val="32"/>
          <w:szCs w:val="32"/>
        </w:rPr>
      </w:pPr>
      <w:r>
        <w:rPr>
          <w:rFonts w:hint="eastAsia" w:ascii="宋体" w:hAnsi="宋体" w:cs="宋体"/>
          <w:b/>
          <w:sz w:val="32"/>
          <w:szCs w:val="32"/>
        </w:rPr>
        <w:t>招</w:t>
      </w:r>
      <w:r>
        <w:rPr>
          <w:rFonts w:hint="eastAsia" w:ascii="宋体" w:hAnsi="宋体" w:cs="宋体"/>
          <w:b/>
          <w:sz w:val="32"/>
          <w:szCs w:val="32"/>
          <w:lang w:val="en-US" w:eastAsia="zh-CN"/>
        </w:rPr>
        <w:t xml:space="preserve"> </w:t>
      </w:r>
      <w:r>
        <w:rPr>
          <w:rFonts w:hint="eastAsia" w:ascii="宋体" w:hAnsi="宋体" w:cs="宋体"/>
          <w:b/>
          <w:sz w:val="32"/>
          <w:szCs w:val="32"/>
        </w:rPr>
        <w:t>标</w:t>
      </w:r>
      <w:r>
        <w:rPr>
          <w:rFonts w:hint="eastAsia" w:ascii="宋体" w:hAnsi="宋体" w:cs="宋体"/>
          <w:b/>
          <w:sz w:val="32"/>
          <w:szCs w:val="32"/>
          <w:lang w:val="en-US" w:eastAsia="zh-CN"/>
        </w:rPr>
        <w:t xml:space="preserve"> </w:t>
      </w:r>
      <w:r>
        <w:rPr>
          <w:rFonts w:hint="eastAsia" w:ascii="宋体" w:hAnsi="宋体" w:cs="宋体"/>
          <w:b/>
          <w:sz w:val="32"/>
          <w:szCs w:val="32"/>
        </w:rPr>
        <w:t>文</w:t>
      </w:r>
      <w:r>
        <w:rPr>
          <w:rFonts w:hint="eastAsia" w:ascii="宋体" w:hAnsi="宋体" w:cs="宋体"/>
          <w:b/>
          <w:sz w:val="32"/>
          <w:szCs w:val="32"/>
          <w:lang w:val="en-US" w:eastAsia="zh-CN"/>
        </w:rPr>
        <w:t xml:space="preserve"> </w:t>
      </w:r>
      <w:r>
        <w:rPr>
          <w:rFonts w:hint="eastAsia" w:ascii="宋体" w:hAnsi="宋体" w:cs="宋体"/>
          <w:b/>
          <w:sz w:val="32"/>
          <w:szCs w:val="32"/>
        </w:rPr>
        <w:t>件</w:t>
      </w:r>
    </w:p>
    <w:p>
      <w:pPr>
        <w:rPr>
          <w:sz w:val="32"/>
          <w:szCs w:val="32"/>
        </w:rPr>
      </w:pPr>
    </w:p>
    <w:p>
      <w:pPr>
        <w:jc w:val="center"/>
        <w:rPr>
          <w:rFonts w:hint="default" w:eastAsiaTheme="minorEastAsia"/>
          <w:b/>
          <w:bCs/>
          <w:sz w:val="32"/>
          <w:szCs w:val="32"/>
          <w:lang w:val="en-US" w:eastAsia="zh-CN"/>
        </w:rPr>
      </w:pPr>
      <w:r>
        <w:rPr>
          <w:rFonts w:hint="eastAsia"/>
          <w:b/>
          <w:bCs/>
          <w:sz w:val="32"/>
          <w:szCs w:val="32"/>
          <w:lang w:val="en-US" w:eastAsia="zh-CN"/>
        </w:rPr>
        <w:t>项目编号：</w:t>
      </w:r>
      <w:r>
        <w:rPr>
          <w:rFonts w:hint="eastAsia"/>
          <w:b/>
          <w:bCs/>
          <w:color w:val="FF0000"/>
          <w:sz w:val="32"/>
          <w:szCs w:val="32"/>
        </w:rPr>
        <w:t>【</w:t>
      </w:r>
      <w:r>
        <w:rPr>
          <w:b/>
          <w:bCs/>
          <w:color w:val="FF0000"/>
          <w:sz w:val="32"/>
          <w:szCs w:val="32"/>
        </w:rPr>
        <w:t>2022SLX00</w:t>
      </w:r>
      <w:r>
        <w:rPr>
          <w:rFonts w:hint="eastAsia"/>
          <w:b/>
          <w:bCs/>
          <w:color w:val="FF0000"/>
          <w:sz w:val="32"/>
          <w:szCs w:val="32"/>
          <w:lang w:val="en-US" w:eastAsia="zh-CN"/>
        </w:rPr>
        <w:t>7</w:t>
      </w:r>
      <w:r>
        <w:rPr>
          <w:rFonts w:hint="eastAsia"/>
          <w:b/>
          <w:bCs/>
          <w:color w:val="FF0000"/>
          <w:sz w:val="32"/>
          <w:szCs w:val="32"/>
        </w:rPr>
        <w:t>】</w:t>
      </w:r>
    </w:p>
    <w:p>
      <w:pPr>
        <w:rPr>
          <w:sz w:val="32"/>
          <w:szCs w:val="32"/>
        </w:rPr>
      </w:pPr>
    </w:p>
    <w:p>
      <w:pPr>
        <w:rPr>
          <w:sz w:val="28"/>
          <w:szCs w:val="28"/>
        </w:rPr>
      </w:pPr>
    </w:p>
    <w:p>
      <w:pPr>
        <w:rPr>
          <w:sz w:val="28"/>
          <w:szCs w:val="28"/>
        </w:rPr>
      </w:pPr>
    </w:p>
    <w:p>
      <w:pPr>
        <w:rPr>
          <w:sz w:val="28"/>
          <w:szCs w:val="28"/>
        </w:rPr>
      </w:pPr>
    </w:p>
    <w:p>
      <w:pPr>
        <w:pStyle w:val="2"/>
      </w:pPr>
    </w:p>
    <w:p>
      <w:pPr>
        <w:rPr>
          <w:sz w:val="28"/>
          <w:szCs w:val="28"/>
        </w:rPr>
      </w:pPr>
    </w:p>
    <w:p>
      <w:pPr>
        <w:rPr>
          <w:sz w:val="28"/>
          <w:szCs w:val="28"/>
        </w:rPr>
      </w:pPr>
    </w:p>
    <w:p>
      <w:pPr>
        <w:jc w:val="center"/>
        <w:rPr>
          <w:sz w:val="28"/>
          <w:szCs w:val="28"/>
        </w:rPr>
      </w:pPr>
    </w:p>
    <w:p>
      <w:pPr>
        <w:jc w:val="center"/>
        <w:rPr>
          <w:rFonts w:hint="eastAsia"/>
          <w:sz w:val="28"/>
          <w:szCs w:val="28"/>
          <w:lang w:val="en-US" w:eastAsia="zh-CN"/>
        </w:rPr>
      </w:pPr>
      <w:r>
        <w:rPr>
          <w:rFonts w:hint="eastAsia"/>
          <w:sz w:val="28"/>
          <w:szCs w:val="28"/>
          <w:lang w:val="en-US" w:eastAsia="zh-CN"/>
        </w:rPr>
        <w:t>招标人：深圳市律师协会</w:t>
      </w:r>
    </w:p>
    <w:p>
      <w:pPr>
        <w:jc w:val="center"/>
        <w:rPr>
          <w:rFonts w:hint="default"/>
          <w:sz w:val="28"/>
          <w:szCs w:val="28"/>
          <w:lang w:val="en-US" w:eastAsia="zh-CN"/>
        </w:rPr>
      </w:pPr>
      <w:r>
        <w:rPr>
          <w:rFonts w:hint="eastAsia"/>
          <w:sz w:val="28"/>
          <w:szCs w:val="28"/>
          <w:lang w:val="en-US" w:eastAsia="zh-CN"/>
        </w:rPr>
        <w:t>2022年11月4日</w:t>
      </w:r>
    </w:p>
    <w:p>
      <w:pPr>
        <w:rPr>
          <w:sz w:val="28"/>
          <w:szCs w:val="28"/>
        </w:rPr>
      </w:pPr>
    </w:p>
    <w:p>
      <w:pPr>
        <w:rPr>
          <w:sz w:val="28"/>
          <w:szCs w:val="28"/>
        </w:rPr>
      </w:pPr>
    </w:p>
    <w:p>
      <w:pPr>
        <w:rPr>
          <w:sz w:val="24"/>
          <w:szCs w:val="24"/>
        </w:rPr>
      </w:pPr>
    </w:p>
    <w:p>
      <w:pPr>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一、投标人须知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（一）投标人资质要求</w:t>
      </w:r>
    </w:p>
    <w:p>
      <w:pPr>
        <w:pageBreakBefore w:val="0"/>
        <w:widowControl w:val="0"/>
        <w:numPr>
          <w:ilvl w:val="0"/>
          <w:numId w:val="1"/>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凡有能力按照本招标文件规定的要求交付货物和服务的投标单位均为合格的投标人。</w:t>
      </w:r>
    </w:p>
    <w:p>
      <w:pPr>
        <w:pageBreakBefore w:val="0"/>
        <w:widowControl w:val="0"/>
        <w:numPr>
          <w:ilvl w:val="0"/>
          <w:numId w:val="1"/>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ascii="微软雅黑" w:hAnsi="微软雅黑" w:eastAsia="微软雅黑" w:cs="微软雅黑"/>
          <w:i w:val="0"/>
          <w:iCs w:val="0"/>
          <w:caps w:val="0"/>
          <w:color w:val="333333"/>
          <w:spacing w:val="0"/>
          <w:sz w:val="24"/>
          <w:szCs w:val="24"/>
        </w:rPr>
      </w:pPr>
      <w:r>
        <w:rPr>
          <w:rFonts w:hint="eastAsia"/>
          <w:sz w:val="24"/>
          <w:szCs w:val="24"/>
          <w:lang w:val="en-US" w:eastAsia="zh-CN"/>
        </w:rPr>
        <w:t>单位负责人为同一人或者存在直接控股、管理关系的不同投标人，不得参加同一合同项下的采购活动。除单一来源采购项目外，为项目提供整体设计、规范编制或者项目管理、监理、检测等服务的投标人，不得再参加该采购项目的其他采购活动。</w:t>
      </w:r>
    </w:p>
    <w:p>
      <w:pPr>
        <w:pageBreakBefore w:val="0"/>
        <w:widowControl w:val="0"/>
        <w:numPr>
          <w:ilvl w:val="0"/>
          <w:numId w:val="1"/>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 xml:space="preserve">投标人在本项目招标公告前一年内未被列入失信被执行人、重大税收违法案件当事人名单、市场监督管理严重违法失信名单记录名单（以“中国执行信息公开网”网站 (http://zxgk.court.gov.cn) </w:t>
      </w:r>
      <w:bookmarkStart w:id="0" w:name="_bookmark64"/>
      <w:bookmarkEnd w:id="0"/>
      <w:bookmarkStart w:id="1" w:name="_bookmark66"/>
      <w:bookmarkEnd w:id="1"/>
      <w:bookmarkStart w:id="2" w:name="_bookmark62"/>
      <w:bookmarkEnd w:id="2"/>
      <w:bookmarkStart w:id="3" w:name="_bookmark20"/>
      <w:bookmarkEnd w:id="3"/>
      <w:r>
        <w:rPr>
          <w:rFonts w:hint="eastAsia"/>
          <w:sz w:val="24"/>
          <w:szCs w:val="24"/>
          <w:lang w:val="en-US" w:eastAsia="zh-CN"/>
        </w:rPr>
        <w:t>和“信用中国 ”网站(www.creditchina.gov.cn) 上公布的记录为准。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本项目不接受联合体投标。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（三）投标人的诚信义务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sz w:val="24"/>
          <w:szCs w:val="24"/>
          <w:lang w:val="en-US" w:eastAsia="zh-CN"/>
        </w:rPr>
        <w:t>投标人不得和其他投标人以任何方式串通投标，应保证认真核实了投标文件的全部资料，所有资料均为真实资料，并对投标文件中全部投标资料的真实性负责。投标人如被证实投标文件存在虚假资料、串通投标或者存在其他违反《招标投标法》等相关法律法规规定的，除投标无效外，还将承担一切法律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（四）投标费用和解释权</w:t>
      </w:r>
    </w:p>
    <w:p>
      <w:pPr>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无论招标投标过程中的做法和结果如何，投标人均自行承担所有与参加投标有关的全部费用。</w:t>
      </w:r>
    </w:p>
    <w:p>
      <w:pPr>
        <w:pageBreakBefore w:val="0"/>
        <w:widowControl w:val="0"/>
        <w:numPr>
          <w:ilvl w:val="0"/>
          <w:numId w:val="2"/>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本招标文件由深圳市律师协会负责解释。</w:t>
      </w:r>
    </w:p>
    <w:p>
      <w:pPr>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rPr>
          <w:rFonts w:hint="eastAsia"/>
          <w:sz w:val="24"/>
          <w:szCs w:val="24"/>
          <w:lang w:val="en-US" w:eastAsia="zh-CN"/>
        </w:rPr>
      </w:pPr>
    </w:p>
    <w:p>
      <w:pPr>
        <w:rPr>
          <w:rFonts w:hint="eastAsia"/>
          <w:sz w:val="24"/>
          <w:szCs w:val="24"/>
          <w:lang w:val="en-US"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p>
    <w:p>
      <w:pPr>
        <w:jc w:val="center"/>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二、招标项目的基本情况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为表彰先进、树立典型，结合年度工作计划，深圳市律师协会拟开展专门委、专业委、区工委及秘书处年度评优工作，对在本年度工作中为行业发展作出贡献，积极参与各项工作、引领创新、乐于奉献的优秀个人及机构予以表彰鼓励，以此发挥先进的引领和示范作用，激励协会各工作机构人员更主动参与行业建设，为促进行业发展作出积极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综上，需制作专门委、区工委、专业委、秘书处受表彰奖牌及证书约650套（以最终实际评选人数为准）。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三、投标价格及其计算方式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（一）投标价格</w:t>
      </w:r>
    </w:p>
    <w:p>
      <w:pPr>
        <w:keepNext w:val="0"/>
        <w:keepLines w:val="0"/>
        <w:pageBreakBefore w:val="0"/>
        <w:widowControl w:val="0"/>
        <w:numPr>
          <w:ilvl w:val="0"/>
          <w:numId w:val="3"/>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u w:val="none"/>
          <w:lang w:val="en-US" w:eastAsia="zh-CN"/>
        </w:rPr>
      </w:pPr>
      <w:r>
        <w:rPr>
          <w:rFonts w:hint="eastAsia"/>
          <w:sz w:val="24"/>
          <w:szCs w:val="24"/>
          <w:lang w:val="en-US" w:eastAsia="zh-CN"/>
        </w:rPr>
        <w:t>本项目的预算总额为：</w:t>
      </w:r>
      <w:r>
        <w:rPr>
          <w:rFonts w:hint="eastAsia" w:ascii="宋体" w:hAnsi="宋体" w:eastAsia="宋体" w:cs="宋体"/>
          <w:bCs/>
          <w:color w:val="333333"/>
          <w:kern w:val="0"/>
          <w:sz w:val="24"/>
          <w:u w:val="single"/>
          <w:shd w:val="clear" w:color="auto" w:fill="FFFFFF"/>
          <w:lang w:bidi="ar"/>
        </w:rPr>
        <w:t>人民币</w:t>
      </w:r>
      <w:r>
        <w:rPr>
          <w:rFonts w:hint="eastAsia" w:eastAsia="宋体" w:cs="宋体"/>
          <w:bCs/>
          <w:color w:val="333333"/>
          <w:kern w:val="0"/>
          <w:sz w:val="24"/>
          <w:u w:val="single"/>
          <w:shd w:val="clear" w:color="auto" w:fill="FFFFFF"/>
          <w:lang w:val="en-US" w:eastAsia="zh-CN" w:bidi="ar"/>
        </w:rPr>
        <w:t>陆</w:t>
      </w:r>
      <w:r>
        <w:rPr>
          <w:rFonts w:hint="eastAsia" w:ascii="宋体" w:hAnsi="宋体" w:eastAsia="宋体" w:cs="宋体"/>
          <w:bCs/>
          <w:color w:val="333333"/>
          <w:kern w:val="0"/>
          <w:sz w:val="24"/>
          <w:u w:val="single"/>
          <w:shd w:val="clear" w:color="auto" w:fill="FFFFFF"/>
          <w:lang w:bidi="ar"/>
        </w:rPr>
        <w:t>万</w:t>
      </w:r>
      <w:r>
        <w:rPr>
          <w:rFonts w:hint="eastAsia" w:cs="宋体"/>
          <w:bCs/>
          <w:color w:val="333333"/>
          <w:kern w:val="0"/>
          <w:sz w:val="24"/>
          <w:u w:val="single"/>
          <w:shd w:val="clear" w:color="auto" w:fill="FFFFFF"/>
          <w:lang w:bidi="ar"/>
        </w:rPr>
        <w:t>元</w:t>
      </w:r>
      <w:r>
        <w:rPr>
          <w:rFonts w:hint="eastAsia"/>
          <w:sz w:val="24"/>
          <w:szCs w:val="24"/>
          <w:u w:val="none"/>
          <w:lang w:val="en-US" w:eastAsia="zh-CN"/>
        </w:rPr>
        <w:t>（本价款包括但不限于货物价款、包装费用、运费、卸装费、税费等，除因货物本身的变化引起的价款变动外，招标人无需再支付其他费用）；</w:t>
      </w:r>
    </w:p>
    <w:p>
      <w:pPr>
        <w:keepNext w:val="0"/>
        <w:keepLines w:val="0"/>
        <w:pageBreakBefore w:val="0"/>
        <w:widowControl w:val="0"/>
        <w:numPr>
          <w:ilvl w:val="0"/>
          <w:numId w:val="3"/>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u w:val="none"/>
          <w:lang w:val="en-US" w:eastAsia="zh-CN"/>
        </w:rPr>
      </w:pPr>
      <w:r>
        <w:rPr>
          <w:rFonts w:hint="eastAsia"/>
          <w:sz w:val="24"/>
          <w:szCs w:val="24"/>
          <w:u w:val="none"/>
          <w:lang w:val="en-US" w:eastAsia="zh-CN"/>
        </w:rPr>
        <w:t>付款条件：合同签订后且提供合格发票后三个工作日内预付合同总金额的30%，余款在产品交付并验收合格且提供合格发票后五个工作日内支付完毕。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（二）投标价格的计算方式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计算方式：总价包干。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四、交货时间和地点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lang w:val="en-US" w:eastAsia="zh-CN"/>
        </w:rPr>
        <w:t>（一）交货时间：</w:t>
      </w:r>
      <w:r>
        <w:rPr>
          <w:rFonts w:hint="eastAsia"/>
          <w:sz w:val="24"/>
          <w:szCs w:val="24"/>
          <w:u w:val="single"/>
          <w:lang w:val="en-US" w:eastAsia="zh-CN"/>
        </w:rPr>
        <w:t>2022年12月20日前；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bCs/>
          <w:sz w:val="24"/>
          <w:szCs w:val="24"/>
          <w:lang w:val="en-US" w:eastAsia="zh-CN"/>
        </w:rPr>
      </w:pPr>
      <w:r>
        <w:rPr>
          <w:rFonts w:hint="eastAsia"/>
          <w:sz w:val="24"/>
          <w:szCs w:val="24"/>
          <w:lang w:val="en-US" w:eastAsia="zh-CN"/>
        </w:rPr>
        <w:t>（二）交货地点：</w:t>
      </w:r>
      <w:r>
        <w:rPr>
          <w:rFonts w:hint="eastAsia"/>
          <w:sz w:val="24"/>
          <w:szCs w:val="24"/>
          <w:u w:val="single"/>
          <w:lang w:val="en-US" w:eastAsia="zh-CN"/>
        </w:rPr>
        <w:t>深圳市深南大道4001号时代金融中心20层。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五、投标人资格要求</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具有独立法人资格或具有独立承担民事责任的能力的其他组织；</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参与本项目投标活动前一年内未被列入失信被执行人、重大税收违法案件当事人名单、市场监督管理严重违法失信名单记录名单；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六、投标文件的编制要求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（一）投标人应按以下顺序编制投标文件</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报价表（按照采购物品分项报价，格式自拟）；</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企业法人营业执照复印件；</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法定代表人身份证明书（自拟）；</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法人授权委托书（自拟）；</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投标人信用查询记录；</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投标人基本情况（自拟）</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相关资质证明材料；</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整体服务方案（自拟）；</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售后服务方案（自拟）；</w:t>
      </w:r>
    </w:p>
    <w:p>
      <w:pPr>
        <w:keepNext w:val="0"/>
        <w:keepLines w:val="0"/>
        <w:pageBreakBefore w:val="0"/>
        <w:widowControl w:val="0"/>
        <w:numPr>
          <w:ilvl w:val="0"/>
          <w:numId w:val="5"/>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其他投标人认为需要的文件。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b/>
          <w:bCs/>
          <w:sz w:val="24"/>
          <w:szCs w:val="24"/>
          <w:lang w:val="en-US" w:eastAsia="zh-CN"/>
        </w:rPr>
        <w:t>七、投标文件提交方式、地点、截止日期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w:t>
      </w:r>
      <w:r>
        <w:rPr>
          <w:rFonts w:hint="default"/>
          <w:sz w:val="24"/>
          <w:szCs w:val="24"/>
          <w:lang w:val="en-US" w:eastAsia="zh-CN"/>
        </w:rPr>
        <w:t>投标文件的</w:t>
      </w:r>
      <w:r>
        <w:rPr>
          <w:rFonts w:hint="eastAsia"/>
          <w:sz w:val="24"/>
          <w:szCs w:val="24"/>
          <w:lang w:val="en-US" w:eastAsia="zh-CN"/>
        </w:rPr>
        <w:t>提交日期</w:t>
      </w:r>
    </w:p>
    <w:p>
      <w:pPr>
        <w:keepNext w:val="0"/>
        <w:keepLines w:val="0"/>
        <w:pageBreakBefore w:val="0"/>
        <w:widowControl w:val="0"/>
        <w:numPr>
          <w:ilvl w:val="0"/>
          <w:numId w:val="6"/>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default"/>
          <w:sz w:val="24"/>
          <w:szCs w:val="24"/>
          <w:lang w:val="en-US" w:eastAsia="zh-CN"/>
        </w:rPr>
        <w:t>投标人应将纸质版投标文件密封在报价专用袋</w:t>
      </w:r>
      <w:r>
        <w:rPr>
          <w:rFonts w:hint="eastAsia"/>
          <w:sz w:val="24"/>
          <w:szCs w:val="24"/>
          <w:lang w:val="en-US" w:eastAsia="zh-CN"/>
        </w:rPr>
        <w:t>（</w:t>
      </w:r>
      <w:r>
        <w:rPr>
          <w:rFonts w:hint="default"/>
          <w:sz w:val="24"/>
          <w:szCs w:val="24"/>
          <w:lang w:val="en-US" w:eastAsia="zh-CN"/>
        </w:rPr>
        <w:t>箱</w:t>
      </w:r>
      <w:r>
        <w:rPr>
          <w:rFonts w:hint="eastAsia"/>
          <w:sz w:val="24"/>
          <w:szCs w:val="24"/>
          <w:lang w:val="en-US" w:eastAsia="zh-CN"/>
        </w:rPr>
        <w:t>）</w:t>
      </w:r>
      <w:r>
        <w:rPr>
          <w:rFonts w:hint="default"/>
          <w:sz w:val="24"/>
          <w:szCs w:val="24"/>
          <w:lang w:val="en-US" w:eastAsia="zh-CN"/>
        </w:rPr>
        <w:t>中，封口处应加盖骑缝章。封皮上均应写明：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致：</w:t>
      </w:r>
      <w:r>
        <w:rPr>
          <w:rFonts w:hint="eastAsia"/>
          <w:sz w:val="24"/>
          <w:szCs w:val="24"/>
          <w:lang w:val="en-US" w:eastAsia="zh-CN"/>
        </w:rPr>
        <w:t>深圳市律师协会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default"/>
          <w:sz w:val="24"/>
          <w:szCs w:val="24"/>
          <w:lang w:val="en-US" w:eastAsia="zh-CN"/>
        </w:rPr>
        <w:t>项目名称：</w:t>
      </w:r>
      <w:r>
        <w:rPr>
          <w:rFonts w:hint="eastAsia"/>
          <w:sz w:val="24"/>
          <w:szCs w:val="24"/>
          <w:u w:val="single"/>
          <w:lang w:val="en-US" w:eastAsia="zh-CN"/>
        </w:rPr>
        <w:t xml:space="preserve"> </w:t>
      </w:r>
      <w:r>
        <w:rPr>
          <w:rFonts w:hint="eastAsia"/>
          <w:b w:val="0"/>
          <w:bCs/>
          <w:sz w:val="24"/>
          <w:szCs w:val="24"/>
          <w:u w:val="single"/>
          <w:lang w:val="en-US" w:eastAsia="zh-CN"/>
        </w:rPr>
        <w:t>采购制作2022年度专门委、专业委、区工委及秘书处评优表彰奖牌及证书</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项目编号：</w:t>
      </w:r>
      <w:r>
        <w:rPr>
          <w:rFonts w:hint="eastAsia"/>
          <w:sz w:val="24"/>
          <w:szCs w:val="24"/>
          <w:u w:val="single"/>
          <w:lang w:val="en-US" w:eastAsia="zh-CN"/>
        </w:rPr>
        <w:t>2022SLX007号</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注明：</w:t>
      </w:r>
      <w:r>
        <w:rPr>
          <w:rFonts w:hint="eastAsia"/>
          <w:sz w:val="24"/>
          <w:szCs w:val="24"/>
          <w:lang w:val="en-US" w:eastAsia="zh-CN"/>
        </w:rPr>
        <w:t>“</w:t>
      </w:r>
      <w:r>
        <w:rPr>
          <w:rFonts w:hint="default"/>
          <w:sz w:val="24"/>
          <w:szCs w:val="24"/>
          <w:lang w:val="en-US" w:eastAsia="zh-CN"/>
        </w:rPr>
        <w:t>请勿在开标时间之前启封</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投标单位名称、联系人姓名和电话</w:t>
      </w:r>
    </w:p>
    <w:p>
      <w:pPr>
        <w:keepNext w:val="0"/>
        <w:keepLines w:val="0"/>
        <w:pageBreakBefore w:val="0"/>
        <w:widowControl w:val="0"/>
        <w:numPr>
          <w:ilvl w:val="0"/>
          <w:numId w:val="6"/>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highlight w:val="none"/>
          <w:lang w:val="en-US" w:eastAsia="zh-CN"/>
        </w:rPr>
      </w:pPr>
      <w:r>
        <w:rPr>
          <w:rFonts w:hint="eastAsia"/>
          <w:sz w:val="24"/>
          <w:szCs w:val="24"/>
          <w:highlight w:val="none"/>
          <w:lang w:val="en-US" w:eastAsia="zh-CN"/>
        </w:rPr>
        <w:t>投标人应当在投标时一并提供样品（或彩色图片、照片及对应尺寸材质介绍）。</w:t>
      </w:r>
    </w:p>
    <w:p>
      <w:pPr>
        <w:keepNext w:val="0"/>
        <w:keepLines w:val="0"/>
        <w:pageBreakBefore w:val="0"/>
        <w:widowControl w:val="0"/>
        <w:numPr>
          <w:ilvl w:val="0"/>
          <w:numId w:val="6"/>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default"/>
          <w:sz w:val="24"/>
          <w:szCs w:val="24"/>
          <w:lang w:val="en-US" w:eastAsia="zh-CN"/>
        </w:rPr>
        <w:t>投标文件未按上述规定书写标记和密封者，</w:t>
      </w:r>
      <w:r>
        <w:rPr>
          <w:rFonts w:hint="eastAsia"/>
          <w:sz w:val="24"/>
          <w:szCs w:val="24"/>
          <w:lang w:val="en-US" w:eastAsia="zh-CN"/>
        </w:rPr>
        <w:t>深圳市律师协会</w:t>
      </w:r>
      <w:r>
        <w:rPr>
          <w:rFonts w:hint="default"/>
          <w:sz w:val="24"/>
          <w:szCs w:val="24"/>
          <w:lang w:val="en-US" w:eastAsia="zh-CN"/>
        </w:rPr>
        <w:t>不对投标文件被错放或先期启封负责。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（二）投标文件的提交地点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提交地点：深圳市福田区深南大道4001号时代金融中心20层会员部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w:t>
      </w:r>
      <w:r>
        <w:rPr>
          <w:rFonts w:hint="default"/>
          <w:sz w:val="24"/>
          <w:szCs w:val="24"/>
          <w:lang w:val="en-US" w:eastAsia="zh-CN"/>
        </w:rPr>
        <w:t>投标截止时间</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本项目的投标截止日期为</w:t>
      </w:r>
      <w:r>
        <w:rPr>
          <w:rFonts w:hint="eastAsia"/>
          <w:sz w:val="24"/>
          <w:szCs w:val="24"/>
          <w:u w:val="single"/>
          <w:lang w:val="en-US" w:eastAsia="zh-CN"/>
        </w:rPr>
        <w:t>2022年11月14日17:30（北京时间）</w:t>
      </w:r>
      <w:r>
        <w:rPr>
          <w:rFonts w:hint="eastAsia"/>
          <w:sz w:val="24"/>
          <w:szCs w:val="24"/>
          <w:lang w:val="en-US" w:eastAsia="zh-CN"/>
        </w:rPr>
        <w:t>；</w:t>
      </w:r>
    </w:p>
    <w:p>
      <w:pPr>
        <w:keepNext w:val="0"/>
        <w:keepLines w:val="0"/>
        <w:pageBreakBefore w:val="0"/>
        <w:widowControl w:val="0"/>
        <w:numPr>
          <w:ilvl w:val="0"/>
          <w:numId w:val="7"/>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ascii="宋体" w:hAnsi="宋体" w:eastAsia="宋体" w:cs="宋体"/>
          <w:spacing w:val="18"/>
          <w:sz w:val="24"/>
          <w:szCs w:val="24"/>
        </w:rPr>
        <w:t>在</w:t>
      </w:r>
      <w:r>
        <w:rPr>
          <w:rFonts w:ascii="宋体" w:hAnsi="宋体" w:eastAsia="宋体" w:cs="宋体"/>
          <w:spacing w:val="9"/>
          <w:sz w:val="24"/>
          <w:szCs w:val="24"/>
        </w:rPr>
        <w:t>规定时间内提交投标文件的投标人不足3家，不得开标，本次招标</w:t>
      </w:r>
      <w:r>
        <w:rPr>
          <w:rFonts w:hint="eastAsia" w:ascii="宋体" w:hAnsi="宋体" w:eastAsia="宋体" w:cs="宋体"/>
          <w:spacing w:val="9"/>
          <w:sz w:val="24"/>
          <w:szCs w:val="24"/>
          <w:lang w:val="en-US" w:eastAsia="zh-CN"/>
        </w:rPr>
        <w:t>失败。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八、开标、评标及中标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（一）开标</w:t>
      </w:r>
    </w:p>
    <w:p>
      <w:pPr>
        <w:keepNext w:val="0"/>
        <w:keepLines w:val="0"/>
        <w:pageBreakBefore w:val="0"/>
        <w:widowControl w:val="0"/>
        <w:numPr>
          <w:ilvl w:val="0"/>
          <w:numId w:val="8"/>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开标时间：</w:t>
      </w:r>
      <w:r>
        <w:rPr>
          <w:rFonts w:hint="eastAsia"/>
          <w:sz w:val="24"/>
          <w:szCs w:val="24"/>
          <w:u w:val="single"/>
          <w:lang w:val="en-US" w:eastAsia="zh-CN"/>
        </w:rPr>
        <w:t>2022年11月16日9:30（北京时间）</w:t>
      </w:r>
    </w:p>
    <w:p>
      <w:pPr>
        <w:keepNext w:val="0"/>
        <w:keepLines w:val="0"/>
        <w:pageBreakBefore w:val="0"/>
        <w:widowControl w:val="0"/>
        <w:numPr>
          <w:ilvl w:val="0"/>
          <w:numId w:val="8"/>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开标地点：</w:t>
      </w:r>
      <w:r>
        <w:rPr>
          <w:rFonts w:hint="eastAsia"/>
          <w:sz w:val="24"/>
          <w:szCs w:val="24"/>
          <w:u w:val="single"/>
          <w:lang w:val="en-US" w:eastAsia="zh-CN"/>
        </w:rPr>
        <w:t>深圳市福田区深南大道4001号时代金融中心20楼 第一会议室</w:t>
      </w:r>
    </w:p>
    <w:p>
      <w:pPr>
        <w:keepNext w:val="0"/>
        <w:keepLines w:val="0"/>
        <w:pageBreakBefore w:val="0"/>
        <w:widowControl w:val="0"/>
        <w:numPr>
          <w:ilvl w:val="0"/>
          <w:numId w:val="8"/>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开标时，投标人代表将查验投标文件密封情况，深圳市律师协会将作开标记录。</w:t>
      </w:r>
    </w:p>
    <w:p>
      <w:pPr>
        <w:keepNext w:val="0"/>
        <w:keepLines w:val="0"/>
        <w:pageBreakBefore w:val="0"/>
        <w:widowControl w:val="0"/>
        <w:numPr>
          <w:ilvl w:val="0"/>
          <w:numId w:val="8"/>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若投标文件未密封或密封不完整，深圳市律师协会将拒绝接受该投标人的投标文件。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（二）评标</w:t>
      </w:r>
    </w:p>
    <w:p>
      <w:pPr>
        <w:keepNext w:val="0"/>
        <w:keepLines w:val="0"/>
        <w:pageBreakBefore w:val="0"/>
        <w:widowControl w:val="0"/>
        <w:numPr>
          <w:ilvl w:val="0"/>
          <w:numId w:val="9"/>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评标时间：</w:t>
      </w:r>
      <w:r>
        <w:rPr>
          <w:rFonts w:hint="eastAsia"/>
          <w:sz w:val="24"/>
          <w:szCs w:val="24"/>
          <w:u w:val="single"/>
          <w:lang w:val="en-US" w:eastAsia="zh-CN"/>
        </w:rPr>
        <w:t>2022年11月16日10:00（北京时间）</w:t>
      </w:r>
    </w:p>
    <w:p>
      <w:pPr>
        <w:keepNext w:val="0"/>
        <w:keepLines w:val="0"/>
        <w:pageBreakBefore w:val="0"/>
        <w:widowControl w:val="0"/>
        <w:numPr>
          <w:ilvl w:val="0"/>
          <w:numId w:val="9"/>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评标地点：</w:t>
      </w:r>
      <w:r>
        <w:rPr>
          <w:rFonts w:hint="eastAsia"/>
          <w:sz w:val="24"/>
          <w:szCs w:val="24"/>
          <w:u w:val="single"/>
          <w:lang w:val="en-US" w:eastAsia="zh-CN"/>
        </w:rPr>
        <w:t>深圳市福田区深南大道4001号时代金融中心20楼 第一会议室</w:t>
      </w:r>
      <w:r>
        <w:rPr>
          <w:rFonts w:hint="eastAsia"/>
          <w:sz w:val="24"/>
          <w:szCs w:val="24"/>
          <w:lang w:val="en-US" w:eastAsia="zh-CN"/>
        </w:rPr>
        <w:t xml:space="preserve">    </w:t>
      </w:r>
    </w:p>
    <w:p>
      <w:pPr>
        <w:keepNext w:val="0"/>
        <w:keepLines w:val="0"/>
        <w:pageBreakBefore w:val="0"/>
        <w:widowControl w:val="0"/>
        <w:numPr>
          <w:ilvl w:val="0"/>
          <w:numId w:val="9"/>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评标方式</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sz w:val="24"/>
          <w:szCs w:val="24"/>
          <w:lang w:val="en-US" w:eastAsia="zh-CN"/>
        </w:rPr>
      </w:pPr>
      <w:r>
        <w:rPr>
          <w:rFonts w:hint="eastAsia"/>
          <w:sz w:val="24"/>
          <w:szCs w:val="24"/>
          <w:lang w:val="en-US" w:eastAsia="zh-CN"/>
        </w:rPr>
        <w:t>评标分值组成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45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450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评审步骤</w:t>
            </w:r>
          </w:p>
        </w:tc>
        <w:tc>
          <w:tcPr>
            <w:tcW w:w="284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7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50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产品品质</w:t>
            </w:r>
          </w:p>
        </w:tc>
        <w:tc>
          <w:tcPr>
            <w:tcW w:w="284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450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价格评审</w:t>
            </w:r>
          </w:p>
        </w:tc>
        <w:tc>
          <w:tcPr>
            <w:tcW w:w="284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40</w:t>
            </w:r>
          </w:p>
        </w:tc>
      </w:tr>
    </w:tbl>
    <w:p>
      <w:pPr>
        <w:jc w:val="both"/>
        <w:rPr>
          <w:rFonts w:hint="eastAsia"/>
          <w:sz w:val="24"/>
          <w:szCs w:val="24"/>
          <w:lang w:val="en-US" w:eastAsia="zh-CN"/>
        </w:rPr>
      </w:pPr>
    </w:p>
    <w:p>
      <w:pPr>
        <w:numPr>
          <w:ilvl w:val="0"/>
          <w:numId w:val="9"/>
        </w:numPr>
        <w:tabs>
          <w:tab w:val="left" w:pos="1050"/>
        </w:tabs>
        <w:ind w:left="0" w:leftChars="0" w:firstLine="640" w:firstLineChars="0"/>
        <w:rPr>
          <w:rFonts w:hint="eastAsia"/>
          <w:sz w:val="24"/>
          <w:szCs w:val="24"/>
          <w:lang w:val="en-US" w:eastAsia="zh-CN"/>
        </w:rPr>
      </w:pPr>
      <w:r>
        <w:rPr>
          <w:rFonts w:hint="eastAsia"/>
          <w:sz w:val="24"/>
          <w:szCs w:val="24"/>
          <w:lang w:val="en-US" w:eastAsia="zh-CN"/>
        </w:rPr>
        <w:t>评审标准：</w:t>
      </w:r>
    </w:p>
    <w:p>
      <w:pPr>
        <w:ind w:firstLine="560"/>
        <w:jc w:val="both"/>
        <w:rPr>
          <w:rFonts w:hint="default"/>
          <w:sz w:val="24"/>
          <w:szCs w:val="24"/>
          <w:lang w:val="en-US" w:eastAsia="zh-CN"/>
        </w:rPr>
      </w:pPr>
      <w:r>
        <w:rPr>
          <w:rFonts w:hint="eastAsia"/>
          <w:sz w:val="24"/>
          <w:szCs w:val="24"/>
          <w:lang w:val="en-US" w:eastAsia="zh-CN"/>
        </w:rPr>
        <w:t>（1）产品品质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064"/>
        <w:gridCol w:w="457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064"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评审因素</w:t>
            </w:r>
          </w:p>
        </w:tc>
        <w:tc>
          <w:tcPr>
            <w:tcW w:w="4572" w:type="dxa"/>
            <w:vAlign w:val="top"/>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评分标准</w:t>
            </w:r>
          </w:p>
        </w:tc>
        <w:tc>
          <w:tcPr>
            <w:tcW w:w="1045" w:type="dxa"/>
            <w:vAlign w:val="top"/>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1</w:t>
            </w:r>
          </w:p>
        </w:tc>
        <w:tc>
          <w:tcPr>
            <w:tcW w:w="2064"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技术响应</w:t>
            </w:r>
          </w:p>
        </w:tc>
        <w:tc>
          <w:tcPr>
            <w:tcW w:w="4572" w:type="dxa"/>
            <w:vAlign w:val="top"/>
          </w:tcPr>
          <w:p>
            <w:pPr>
              <w:tabs>
                <w:tab w:val="left" w:pos="1453"/>
              </w:tabs>
              <w:jc w:val="left"/>
              <w:rPr>
                <w:rFonts w:hint="default"/>
                <w:sz w:val="24"/>
                <w:szCs w:val="24"/>
                <w:vertAlign w:val="baseline"/>
                <w:lang w:val="en-US" w:eastAsia="zh-CN"/>
              </w:rPr>
            </w:pPr>
            <w:r>
              <w:rPr>
                <w:rFonts w:hint="default"/>
                <w:sz w:val="24"/>
                <w:szCs w:val="24"/>
                <w:vertAlign w:val="baseline"/>
                <w:lang w:val="en-US" w:eastAsia="zh-CN"/>
              </w:rPr>
              <w:t>投标人根据招标文件</w:t>
            </w:r>
            <w:r>
              <w:rPr>
                <w:rFonts w:hint="eastAsia"/>
                <w:sz w:val="24"/>
                <w:szCs w:val="24"/>
                <w:vertAlign w:val="baseline"/>
                <w:lang w:val="en-US" w:eastAsia="zh-CN"/>
              </w:rPr>
              <w:t>中拟制作奖牌、证书</w:t>
            </w:r>
            <w:r>
              <w:rPr>
                <w:rFonts w:hint="default"/>
                <w:sz w:val="24"/>
                <w:szCs w:val="24"/>
                <w:vertAlign w:val="baseline"/>
                <w:lang w:val="en-US" w:eastAsia="zh-CN"/>
              </w:rPr>
              <w:t>的要求提供</w:t>
            </w:r>
            <w:r>
              <w:rPr>
                <w:rFonts w:hint="eastAsia"/>
                <w:sz w:val="24"/>
                <w:szCs w:val="24"/>
                <w:vertAlign w:val="baseline"/>
                <w:lang w:val="en-US" w:eastAsia="zh-CN"/>
              </w:rPr>
              <w:t>所需</w:t>
            </w:r>
            <w:r>
              <w:rPr>
                <w:rFonts w:hint="eastAsia" w:ascii="宋体" w:hAnsi="宋体" w:eastAsia="宋体" w:cs="宋体"/>
                <w:b w:val="0"/>
                <w:bCs/>
                <w:i w:val="0"/>
                <w:iCs w:val="0"/>
                <w:caps w:val="0"/>
                <w:color w:val="333333"/>
                <w:spacing w:val="0"/>
                <w:kern w:val="0"/>
                <w:sz w:val="24"/>
                <w:szCs w:val="24"/>
                <w:u w:val="none"/>
                <w:shd w:val="clear" w:fill="FFFFFF"/>
                <w:lang w:val="en-US" w:eastAsia="zh-CN" w:bidi="ar"/>
              </w:rPr>
              <w:t>物品</w:t>
            </w:r>
            <w:r>
              <w:rPr>
                <w:rFonts w:hint="default"/>
                <w:sz w:val="24"/>
                <w:szCs w:val="24"/>
                <w:vertAlign w:val="baseline"/>
                <w:lang w:val="en-US" w:eastAsia="zh-CN"/>
              </w:rPr>
              <w:t>。</w:t>
            </w:r>
            <w:r>
              <w:rPr>
                <w:rFonts w:hint="eastAsia"/>
                <w:sz w:val="24"/>
                <w:szCs w:val="24"/>
                <w:vertAlign w:val="baseline"/>
                <w:lang w:val="en-US" w:eastAsia="zh-CN"/>
              </w:rPr>
              <w:t>完全能够满足</w:t>
            </w:r>
            <w:r>
              <w:rPr>
                <w:rFonts w:hint="default"/>
                <w:sz w:val="24"/>
                <w:szCs w:val="24"/>
                <w:vertAlign w:val="baseline"/>
                <w:lang w:val="en-US" w:eastAsia="zh-CN"/>
              </w:rPr>
              <w:t>的得</w:t>
            </w:r>
            <w:r>
              <w:rPr>
                <w:rFonts w:hint="eastAsia"/>
                <w:sz w:val="24"/>
                <w:szCs w:val="24"/>
                <w:vertAlign w:val="baseline"/>
                <w:lang w:val="en-US" w:eastAsia="zh-CN"/>
              </w:rPr>
              <w:t>20</w:t>
            </w:r>
            <w:r>
              <w:rPr>
                <w:rFonts w:hint="default"/>
                <w:sz w:val="24"/>
                <w:szCs w:val="24"/>
                <w:vertAlign w:val="baseline"/>
                <w:lang w:val="en-US" w:eastAsia="zh-CN"/>
              </w:rPr>
              <w:t>分</w:t>
            </w:r>
            <w:r>
              <w:rPr>
                <w:rFonts w:hint="eastAsia"/>
                <w:sz w:val="24"/>
                <w:szCs w:val="24"/>
                <w:vertAlign w:val="baseline"/>
                <w:lang w:val="en-US" w:eastAsia="zh-CN"/>
              </w:rPr>
              <w:t>，否则不得分。</w:t>
            </w:r>
            <w:r>
              <w:rPr>
                <w:rFonts w:hint="default"/>
                <w:sz w:val="24"/>
                <w:szCs w:val="24"/>
                <w:vertAlign w:val="baseline"/>
                <w:lang w:val="en-US" w:eastAsia="zh-CN"/>
              </w:rPr>
              <w:t xml:space="preserve">    </w:t>
            </w:r>
          </w:p>
        </w:tc>
        <w:tc>
          <w:tcPr>
            <w:tcW w:w="1045"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2</w:t>
            </w:r>
          </w:p>
        </w:tc>
        <w:tc>
          <w:tcPr>
            <w:tcW w:w="2064"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市场美誉度</w:t>
            </w:r>
          </w:p>
        </w:tc>
        <w:tc>
          <w:tcPr>
            <w:tcW w:w="4572" w:type="dxa"/>
            <w:vAlign w:val="top"/>
          </w:tcPr>
          <w:p>
            <w:pPr>
              <w:tabs>
                <w:tab w:val="left" w:pos="1453"/>
              </w:tabs>
              <w:jc w:val="left"/>
              <w:rPr>
                <w:rFonts w:hint="default"/>
                <w:sz w:val="24"/>
                <w:szCs w:val="24"/>
                <w:vertAlign w:val="baseline"/>
                <w:lang w:val="en-US" w:eastAsia="zh-CN"/>
              </w:rPr>
            </w:pPr>
            <w:r>
              <w:rPr>
                <w:rFonts w:hint="default"/>
                <w:sz w:val="24"/>
                <w:szCs w:val="24"/>
                <w:vertAlign w:val="baseline"/>
                <w:lang w:val="en-US" w:eastAsia="zh-CN"/>
              </w:rPr>
              <w:t>所供产品品牌的市场美誉度高的得</w:t>
            </w:r>
            <w:r>
              <w:rPr>
                <w:rFonts w:hint="eastAsia"/>
                <w:sz w:val="24"/>
                <w:szCs w:val="24"/>
                <w:vertAlign w:val="baseline"/>
                <w:lang w:val="en-US" w:eastAsia="zh-CN"/>
              </w:rPr>
              <w:t>20</w:t>
            </w:r>
            <w:r>
              <w:rPr>
                <w:rFonts w:hint="default"/>
                <w:sz w:val="24"/>
                <w:szCs w:val="24"/>
                <w:vertAlign w:val="baseline"/>
                <w:lang w:val="en-US" w:eastAsia="zh-CN"/>
              </w:rPr>
              <w:t>分；产品市场美誉度一般的得</w:t>
            </w:r>
            <w:r>
              <w:rPr>
                <w:rFonts w:hint="eastAsia"/>
                <w:sz w:val="24"/>
                <w:szCs w:val="24"/>
                <w:vertAlign w:val="baseline"/>
                <w:lang w:val="en-US" w:eastAsia="zh-CN"/>
              </w:rPr>
              <w:t>10</w:t>
            </w:r>
            <w:r>
              <w:rPr>
                <w:rFonts w:hint="default"/>
                <w:sz w:val="24"/>
                <w:szCs w:val="24"/>
                <w:vertAlign w:val="baseline"/>
                <w:lang w:val="en-US" w:eastAsia="zh-CN"/>
              </w:rPr>
              <w:t>分；产品市场美誉度差的不得分。</w:t>
            </w:r>
          </w:p>
        </w:tc>
        <w:tc>
          <w:tcPr>
            <w:tcW w:w="1045"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3</w:t>
            </w:r>
          </w:p>
        </w:tc>
        <w:tc>
          <w:tcPr>
            <w:tcW w:w="2064"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整体服务方案</w:t>
            </w:r>
          </w:p>
        </w:tc>
        <w:tc>
          <w:tcPr>
            <w:tcW w:w="4572" w:type="dxa"/>
            <w:vAlign w:val="top"/>
          </w:tcPr>
          <w:p>
            <w:pPr>
              <w:tabs>
                <w:tab w:val="left" w:pos="1453"/>
              </w:tabs>
              <w:jc w:val="left"/>
              <w:rPr>
                <w:rFonts w:hint="default"/>
                <w:sz w:val="24"/>
                <w:szCs w:val="24"/>
                <w:vertAlign w:val="baseline"/>
                <w:lang w:val="en-US" w:eastAsia="zh-CN"/>
              </w:rPr>
            </w:pPr>
            <w:r>
              <w:rPr>
                <w:rFonts w:hint="default"/>
                <w:sz w:val="24"/>
                <w:szCs w:val="24"/>
                <w:vertAlign w:val="baseline"/>
                <w:lang w:val="en-US" w:eastAsia="zh-CN"/>
              </w:rPr>
              <w:t xml:space="preserve">投标人为本项目提供整体服务方案 </w:t>
            </w:r>
            <w:r>
              <w:rPr>
                <w:rFonts w:hint="eastAsia"/>
                <w:sz w:val="24"/>
                <w:szCs w:val="24"/>
                <w:vertAlign w:val="baseline"/>
                <w:lang w:val="en-US" w:eastAsia="zh-CN"/>
              </w:rPr>
              <w:t>（包括但不限于采购、定制、交付、时间管理等方面）。</w:t>
            </w:r>
            <w:r>
              <w:rPr>
                <w:rFonts w:hint="default"/>
                <w:sz w:val="24"/>
                <w:szCs w:val="24"/>
                <w:vertAlign w:val="baseline"/>
                <w:lang w:val="en-US" w:eastAsia="zh-CN"/>
              </w:rPr>
              <w:t>方案科学合理、可行性强、完全符合本项目要求的得7-10 分</w:t>
            </w:r>
            <w:r>
              <w:rPr>
                <w:rFonts w:hint="eastAsia"/>
                <w:sz w:val="24"/>
                <w:szCs w:val="24"/>
                <w:vertAlign w:val="baseline"/>
                <w:lang w:val="en-US" w:eastAsia="zh-CN"/>
              </w:rPr>
              <w:t>；</w:t>
            </w:r>
            <w:r>
              <w:rPr>
                <w:rFonts w:hint="default"/>
                <w:sz w:val="24"/>
                <w:szCs w:val="24"/>
                <w:vertAlign w:val="baseline"/>
                <w:lang w:val="en-US" w:eastAsia="zh-CN"/>
              </w:rPr>
              <w:t>方案较科学合理、可行性较强、基本符合本项目要求的得4-6分</w:t>
            </w:r>
            <w:r>
              <w:rPr>
                <w:rFonts w:hint="eastAsia"/>
                <w:sz w:val="24"/>
                <w:szCs w:val="24"/>
                <w:vertAlign w:val="baseline"/>
                <w:lang w:val="en-US" w:eastAsia="zh-CN"/>
              </w:rPr>
              <w:t>；</w:t>
            </w:r>
            <w:r>
              <w:rPr>
                <w:rFonts w:hint="default"/>
                <w:sz w:val="24"/>
                <w:szCs w:val="24"/>
                <w:vertAlign w:val="baseline"/>
                <w:lang w:val="en-US" w:eastAsia="zh-CN"/>
              </w:rPr>
              <w:t>方案合理程度一般、可行性一般、与项目的吻合度一般的得1-3分；方案较差、可行性不强、不符合本项目要求的得0分。</w:t>
            </w:r>
          </w:p>
        </w:tc>
        <w:tc>
          <w:tcPr>
            <w:tcW w:w="1045"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4</w:t>
            </w:r>
          </w:p>
        </w:tc>
        <w:tc>
          <w:tcPr>
            <w:tcW w:w="2064"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售后方案</w:t>
            </w:r>
          </w:p>
        </w:tc>
        <w:tc>
          <w:tcPr>
            <w:tcW w:w="4572" w:type="dxa"/>
            <w:vAlign w:val="top"/>
          </w:tcPr>
          <w:p>
            <w:pPr>
              <w:tabs>
                <w:tab w:val="left" w:pos="1453"/>
              </w:tabs>
              <w:jc w:val="left"/>
              <w:rPr>
                <w:rFonts w:hint="default"/>
                <w:sz w:val="24"/>
                <w:szCs w:val="24"/>
                <w:vertAlign w:val="baseline"/>
                <w:lang w:val="en-US" w:eastAsia="zh-CN"/>
              </w:rPr>
            </w:pPr>
            <w:r>
              <w:rPr>
                <w:rFonts w:hint="default"/>
                <w:sz w:val="24"/>
                <w:szCs w:val="24"/>
                <w:vertAlign w:val="baseline"/>
                <w:lang w:val="en-US" w:eastAsia="zh-CN"/>
              </w:rPr>
              <w:t>投标人为本项目提供售后服务方案</w:t>
            </w:r>
            <w:r>
              <w:rPr>
                <w:rFonts w:hint="eastAsia"/>
                <w:sz w:val="24"/>
                <w:szCs w:val="24"/>
                <w:vertAlign w:val="baseline"/>
                <w:lang w:val="en-US" w:eastAsia="zh-CN"/>
              </w:rPr>
              <w:t>。</w:t>
            </w:r>
            <w:r>
              <w:rPr>
                <w:rFonts w:hint="default"/>
                <w:sz w:val="24"/>
                <w:szCs w:val="24"/>
                <w:vertAlign w:val="baseline"/>
                <w:lang w:val="en-US" w:eastAsia="zh-CN"/>
              </w:rPr>
              <w:t>方案科学合理、可行性强、完全符合本项目要求的得7-10分</w:t>
            </w:r>
            <w:r>
              <w:rPr>
                <w:rFonts w:hint="eastAsia"/>
                <w:sz w:val="24"/>
                <w:szCs w:val="24"/>
                <w:vertAlign w:val="baseline"/>
                <w:lang w:val="en-US" w:eastAsia="zh-CN"/>
              </w:rPr>
              <w:t>；</w:t>
            </w:r>
            <w:r>
              <w:rPr>
                <w:rFonts w:hint="default"/>
                <w:sz w:val="24"/>
                <w:szCs w:val="24"/>
                <w:vertAlign w:val="baseline"/>
                <w:lang w:val="en-US" w:eastAsia="zh-CN"/>
              </w:rPr>
              <w:t>方案较  科学合理、可行性较强、基本符合本项目要求的得4-6 分；方案合理程度一般、可行性一般、与项目的吻合  度一般的得1-3分；方案较差、可行性不强、不符合本项目要求的得0分。</w:t>
            </w:r>
          </w:p>
        </w:tc>
        <w:tc>
          <w:tcPr>
            <w:tcW w:w="1045" w:type="dxa"/>
            <w:vAlign w:val="center"/>
          </w:tcPr>
          <w:p>
            <w:pPr>
              <w:tabs>
                <w:tab w:val="left" w:pos="1453"/>
              </w:tabs>
              <w:jc w:val="center"/>
              <w:rPr>
                <w:rFonts w:hint="default"/>
                <w:sz w:val="24"/>
                <w:szCs w:val="24"/>
                <w:vertAlign w:val="baseline"/>
                <w:lang w:val="en-US" w:eastAsia="zh-CN"/>
              </w:rPr>
            </w:pPr>
            <w:r>
              <w:rPr>
                <w:rFonts w:hint="eastAsia"/>
                <w:sz w:val="24"/>
                <w:szCs w:val="24"/>
                <w:vertAlign w:val="baseline"/>
                <w:lang w:val="en-US" w:eastAsia="zh-CN"/>
              </w:rPr>
              <w:t>10</w:t>
            </w:r>
          </w:p>
        </w:tc>
      </w:tr>
    </w:tbl>
    <w:p>
      <w:pPr>
        <w:tabs>
          <w:tab w:val="left" w:pos="1453"/>
        </w:tabs>
        <w:jc w:val="both"/>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sz w:val="24"/>
          <w:szCs w:val="24"/>
          <w:lang w:val="en-US" w:eastAsia="zh-CN"/>
        </w:rPr>
      </w:pPr>
      <w:r>
        <w:rPr>
          <w:rFonts w:hint="eastAsia"/>
          <w:sz w:val="24"/>
          <w:szCs w:val="24"/>
          <w:lang w:val="en-US" w:eastAsia="zh-CN"/>
        </w:rPr>
        <w:t>（2）价格评分</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sz w:val="24"/>
          <w:szCs w:val="24"/>
          <w:lang w:val="en-US" w:eastAsia="zh-CN"/>
        </w:rPr>
      </w:pPr>
      <w:r>
        <w:rPr>
          <w:rFonts w:hint="eastAsia"/>
          <w:sz w:val="24"/>
          <w:szCs w:val="24"/>
          <w:lang w:val="en-US" w:eastAsia="zh-CN"/>
        </w:rPr>
        <w:t>报价得分=（评标基准价/投标报价）*100*40%；评标基准价等于有效投标单位中报价的最小值。</w:t>
      </w:r>
    </w:p>
    <w:p>
      <w:pPr>
        <w:keepNext w:val="0"/>
        <w:keepLines w:val="0"/>
        <w:pageBreakBefore w:val="0"/>
        <w:widowControl w:val="0"/>
        <w:numPr>
          <w:ilvl w:val="0"/>
          <w:numId w:val="9"/>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中标：得分最高者中标。</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60" w:lineRule="auto"/>
        <w:ind w:left="640" w:leftChars="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4"/>
          <w:szCs w:val="24"/>
          <w:lang w:val="en-US" w:eastAsia="zh-CN"/>
        </w:rPr>
        <w:t>九、合同授予</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sz w:val="24"/>
          <w:szCs w:val="24"/>
          <w:lang w:val="en-US" w:eastAsia="zh-CN"/>
        </w:rPr>
      </w:pPr>
      <w:r>
        <w:rPr>
          <w:rFonts w:hint="eastAsia"/>
          <w:sz w:val="24"/>
          <w:szCs w:val="24"/>
          <w:lang w:val="en-US" w:eastAsia="zh-CN"/>
        </w:rPr>
        <w:t>（一）中标通知书</w:t>
      </w:r>
    </w:p>
    <w:p>
      <w:pPr>
        <w:keepNext w:val="0"/>
        <w:keepLines w:val="0"/>
        <w:pageBreakBefore w:val="0"/>
        <w:widowControl w:val="0"/>
        <w:numPr>
          <w:ilvl w:val="0"/>
          <w:numId w:val="10"/>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 xml:space="preserve">中标公告公布以后，公示期内无人提出异议，将发布中标通知书。中标公告由招标人在信息发布网站上发布。中标公告一经上网发布，即视为送达各投标人。中标人应尽快领取中标通知书，未及时领取造成采购工作延误的责任自负。 </w:t>
      </w:r>
    </w:p>
    <w:p>
      <w:pPr>
        <w:keepNext w:val="0"/>
        <w:keepLines w:val="0"/>
        <w:pageBreakBefore w:val="0"/>
        <w:widowControl w:val="0"/>
        <w:numPr>
          <w:ilvl w:val="0"/>
          <w:numId w:val="10"/>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中标通知书是合同的重要组成部分。</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sz w:val="24"/>
          <w:szCs w:val="24"/>
          <w:lang w:val="en-US" w:eastAsia="zh-CN"/>
        </w:rPr>
      </w:pPr>
      <w:bookmarkStart w:id="4" w:name="_Toc476"/>
      <w:r>
        <w:rPr>
          <w:rFonts w:hint="eastAsia"/>
          <w:sz w:val="24"/>
          <w:szCs w:val="24"/>
          <w:lang w:val="en-US" w:eastAsia="zh-CN"/>
        </w:rPr>
        <w:t>（二）签订合同</w:t>
      </w:r>
      <w:bookmarkEnd w:id="4"/>
    </w:p>
    <w:p>
      <w:pPr>
        <w:keepNext w:val="0"/>
        <w:keepLines w:val="0"/>
        <w:pageBreakBefore w:val="0"/>
        <w:widowControl w:val="0"/>
        <w:numPr>
          <w:ilvl w:val="0"/>
          <w:numId w:val="11"/>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eastAsia"/>
          <w:sz w:val="24"/>
          <w:szCs w:val="24"/>
          <w:lang w:val="en-US" w:eastAsia="zh-CN"/>
        </w:rPr>
      </w:pPr>
      <w:r>
        <w:rPr>
          <w:rFonts w:hint="eastAsia"/>
          <w:sz w:val="24"/>
          <w:szCs w:val="24"/>
          <w:lang w:val="en-US" w:eastAsia="zh-CN"/>
        </w:rPr>
        <w:t xml:space="preserve"> 中标人在收到中标通知书和合同格式后三个工作日内，应派授权代表到采购人所在地与采购人签订合同。</w:t>
      </w:r>
    </w:p>
    <w:p>
      <w:pPr>
        <w:keepNext w:val="0"/>
        <w:keepLines w:val="0"/>
        <w:pageBreakBefore w:val="0"/>
        <w:widowControl w:val="0"/>
        <w:numPr>
          <w:ilvl w:val="0"/>
          <w:numId w:val="11"/>
        </w:numPr>
        <w:tabs>
          <w:tab w:val="left" w:pos="1050"/>
        </w:tabs>
        <w:kinsoku/>
        <w:wordWrap/>
        <w:overflowPunct/>
        <w:topLinePunct w:val="0"/>
        <w:autoSpaceDE/>
        <w:autoSpaceDN/>
        <w:bidi w:val="0"/>
        <w:adjustRightInd/>
        <w:snapToGrid/>
        <w:spacing w:line="360" w:lineRule="auto"/>
        <w:ind w:left="0" w:leftChars="0" w:firstLine="640" w:firstLineChars="0"/>
        <w:textAlignment w:val="auto"/>
        <w:rPr>
          <w:rFonts w:hint="default"/>
          <w:sz w:val="24"/>
          <w:szCs w:val="24"/>
          <w:lang w:val="en-US" w:eastAsia="zh-CN"/>
        </w:rPr>
      </w:pPr>
      <w:r>
        <w:rPr>
          <w:rFonts w:hint="eastAsia"/>
          <w:sz w:val="24"/>
          <w:szCs w:val="24"/>
          <w:lang w:val="en-US" w:eastAsia="zh-CN"/>
        </w:rPr>
        <w:t>招标文件、中标方的投标文件及其澄清、修改文件等，均为签订合同的依据。</w:t>
      </w:r>
    </w:p>
    <w:p>
      <w:pPr>
        <w:snapToGrid w:val="0"/>
        <w:spacing w:line="360" w:lineRule="auto"/>
        <w:ind w:right="480"/>
        <w:rPr>
          <w:rFonts w:hint="eastAsia" w:eastAsia="华文中宋"/>
          <w:sz w:val="24"/>
          <w:szCs w:val="24"/>
        </w:rPr>
      </w:pPr>
    </w:p>
    <w:p>
      <w:pPr>
        <w:spacing w:line="360" w:lineRule="auto"/>
        <w:rPr>
          <w:rFonts w:hint="eastAsia"/>
          <w:sz w:val="24"/>
          <w:szCs w:val="24"/>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rPr>
          <w:rFonts w:hint="eastAsia"/>
          <w:sz w:val="24"/>
          <w:szCs w:val="24"/>
        </w:rPr>
      </w:pPr>
      <w:r>
        <w:rPr>
          <w:rFonts w:hint="eastAsia"/>
          <w:sz w:val="24"/>
          <w:szCs w:val="24"/>
          <w:lang w:eastAsia="zh-CN"/>
        </w:rPr>
        <w:t>附件：</w:t>
      </w:r>
    </w:p>
    <w:p>
      <w:pPr>
        <w:spacing w:line="360" w:lineRule="auto"/>
        <w:rPr>
          <w:rFonts w:hint="eastAsia"/>
          <w:sz w:val="24"/>
          <w:szCs w:val="24"/>
        </w:rPr>
      </w:pPr>
    </w:p>
    <w:p>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rPr>
        <w:t>买卖合同</w:t>
      </w:r>
      <w:r>
        <w:rPr>
          <w:rFonts w:hint="eastAsia" w:ascii="黑体" w:hAnsi="黑体" w:eastAsia="黑体" w:cs="黑体"/>
          <w:sz w:val="24"/>
          <w:szCs w:val="24"/>
          <w:lang w:eastAsia="zh-CN"/>
        </w:rPr>
        <w:t>（参考文本）</w:t>
      </w:r>
    </w:p>
    <w:p>
      <w:pPr>
        <w:spacing w:line="360" w:lineRule="auto"/>
        <w:jc w:val="left"/>
        <w:rPr>
          <w:rFonts w:hint="eastAsia"/>
          <w:sz w:val="24"/>
          <w:szCs w:val="24"/>
          <w:u w:val="single"/>
        </w:rPr>
      </w:pPr>
    </w:p>
    <w:p>
      <w:pPr>
        <w:spacing w:line="360" w:lineRule="auto"/>
        <w:rPr>
          <w:rFonts w:hint="eastAsia" w:ascii="仿宋" w:hAnsi="仿宋" w:eastAsia="仿宋"/>
          <w:sz w:val="24"/>
          <w:szCs w:val="24"/>
        </w:rPr>
      </w:pPr>
      <w:r>
        <w:rPr>
          <w:rFonts w:hint="eastAsia" w:ascii="黑体" w:hAnsi="黑体" w:eastAsia="黑体"/>
          <w:sz w:val="24"/>
          <w:szCs w:val="24"/>
        </w:rPr>
        <w:t>买方（甲方）</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360" w:lineRule="auto"/>
        <w:rPr>
          <w:rFonts w:hint="eastAsia" w:ascii="仿宋" w:hAnsi="仿宋" w:eastAsia="仿宋"/>
          <w:sz w:val="24"/>
          <w:szCs w:val="24"/>
        </w:rPr>
      </w:pPr>
      <w:r>
        <w:rPr>
          <w:rFonts w:hint="eastAsia" w:ascii="仿宋" w:hAnsi="仿宋" w:eastAsia="仿宋"/>
          <w:sz w:val="24"/>
          <w:szCs w:val="24"/>
        </w:rPr>
        <w:t>住所：</w:t>
      </w:r>
    </w:p>
    <w:p>
      <w:pPr>
        <w:spacing w:line="360" w:lineRule="auto"/>
        <w:rPr>
          <w:rFonts w:hint="eastAsia" w:ascii="仿宋" w:hAnsi="仿宋" w:eastAsia="仿宋"/>
          <w:sz w:val="24"/>
          <w:szCs w:val="24"/>
        </w:rPr>
      </w:pPr>
      <w:r>
        <w:rPr>
          <w:rFonts w:hint="eastAsia" w:ascii="仿宋" w:hAnsi="仿宋" w:eastAsia="仿宋"/>
          <w:sz w:val="24"/>
          <w:szCs w:val="24"/>
        </w:rPr>
        <w:t>联系电话：</w:t>
      </w:r>
    </w:p>
    <w:p>
      <w:pPr>
        <w:spacing w:line="360" w:lineRule="auto"/>
        <w:rPr>
          <w:rFonts w:hint="eastAsia" w:ascii="仿宋" w:hAnsi="仿宋" w:eastAsia="仿宋"/>
          <w:sz w:val="24"/>
          <w:szCs w:val="24"/>
        </w:rPr>
      </w:pPr>
      <w:r>
        <w:rPr>
          <w:rFonts w:hint="eastAsia" w:ascii="黑体" w:hAnsi="黑体" w:eastAsia="黑体"/>
          <w:sz w:val="24"/>
          <w:szCs w:val="24"/>
        </w:rPr>
        <w:t>卖方（乙方）</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360" w:lineRule="auto"/>
        <w:rPr>
          <w:rFonts w:hint="eastAsia" w:ascii="仿宋" w:hAnsi="仿宋" w:eastAsia="仿宋"/>
          <w:sz w:val="24"/>
          <w:szCs w:val="24"/>
        </w:rPr>
      </w:pPr>
      <w:r>
        <w:rPr>
          <w:rFonts w:hint="eastAsia" w:ascii="仿宋" w:hAnsi="仿宋" w:eastAsia="仿宋"/>
          <w:sz w:val="24"/>
          <w:szCs w:val="24"/>
        </w:rPr>
        <w:t>住所：</w:t>
      </w:r>
    </w:p>
    <w:p>
      <w:pPr>
        <w:spacing w:line="360" w:lineRule="auto"/>
        <w:rPr>
          <w:rFonts w:hint="eastAsia" w:ascii="仿宋" w:hAnsi="仿宋" w:eastAsia="仿宋"/>
          <w:sz w:val="24"/>
          <w:szCs w:val="24"/>
        </w:rPr>
      </w:pPr>
      <w:r>
        <w:rPr>
          <w:rFonts w:hint="eastAsia" w:ascii="仿宋" w:hAnsi="仿宋" w:eastAsia="仿宋"/>
          <w:sz w:val="24"/>
          <w:szCs w:val="24"/>
        </w:rPr>
        <w:t>联系电话：</w:t>
      </w:r>
    </w:p>
    <w:p>
      <w:pPr>
        <w:spacing w:line="360" w:lineRule="auto"/>
        <w:jc w:val="left"/>
        <w:rPr>
          <w:rFonts w:hint="eastAsia" w:ascii="仿宋" w:hAnsi="仿宋" w:eastAsia="仿宋"/>
          <w:sz w:val="24"/>
          <w:szCs w:val="24"/>
        </w:rPr>
      </w:pP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根据</w:t>
      </w:r>
      <w:r>
        <w:rPr>
          <w:rFonts w:hint="eastAsia" w:ascii="仿宋" w:hAnsi="仿宋" w:eastAsia="仿宋"/>
          <w:sz w:val="24"/>
          <w:szCs w:val="24"/>
          <w:u w:val="single"/>
        </w:rPr>
        <w:t xml:space="preserve">              </w:t>
      </w:r>
      <w:r>
        <w:rPr>
          <w:rFonts w:hint="eastAsia" w:ascii="仿宋" w:hAnsi="仿宋" w:eastAsia="仿宋"/>
          <w:sz w:val="24"/>
          <w:szCs w:val="24"/>
        </w:rPr>
        <w:t>招标公告，乙方投标并依法被确定为中标人。现甲、乙双方根据《招标投标法》《</w:t>
      </w:r>
      <w:r>
        <w:rPr>
          <w:rFonts w:hint="eastAsia" w:ascii="仿宋" w:hAnsi="仿宋" w:eastAsia="仿宋"/>
          <w:sz w:val="24"/>
          <w:szCs w:val="24"/>
          <w:lang w:eastAsia="zh-CN"/>
        </w:rPr>
        <w:t>民法典</w:t>
      </w:r>
      <w:r>
        <w:rPr>
          <w:rFonts w:hint="eastAsia" w:ascii="仿宋" w:hAnsi="仿宋" w:eastAsia="仿宋"/>
          <w:sz w:val="24"/>
          <w:szCs w:val="24"/>
        </w:rPr>
        <w:t>》等有关法律规定，本着平等、自愿原则，经友好协商，签订本合同。</w:t>
      </w:r>
    </w:p>
    <w:p>
      <w:pPr>
        <w:numPr>
          <w:ilvl w:val="0"/>
          <w:numId w:val="12"/>
        </w:numPr>
        <w:spacing w:line="360" w:lineRule="auto"/>
        <w:ind w:hanging="318"/>
        <w:jc w:val="left"/>
        <w:rPr>
          <w:rFonts w:ascii="黑体" w:hAnsi="黑体" w:eastAsia="黑体"/>
          <w:b/>
          <w:bCs/>
          <w:sz w:val="24"/>
          <w:szCs w:val="24"/>
        </w:rPr>
      </w:pPr>
      <w:r>
        <w:rPr>
          <w:rFonts w:ascii="黑体" w:hAnsi="黑体" w:eastAsia="黑体"/>
          <w:b/>
          <w:bCs/>
          <w:sz w:val="24"/>
          <w:szCs w:val="24"/>
        </w:rPr>
        <w:t>标的</w:t>
      </w:r>
    </w:p>
    <w:tbl>
      <w:tblPr>
        <w:tblStyle w:val="7"/>
        <w:tblW w:w="10207" w:type="dxa"/>
        <w:tblInd w:w="-743" w:type="dxa"/>
        <w:tblLayout w:type="fixed"/>
        <w:tblCellMar>
          <w:top w:w="0" w:type="dxa"/>
          <w:left w:w="108" w:type="dxa"/>
          <w:bottom w:w="0" w:type="dxa"/>
          <w:right w:w="108" w:type="dxa"/>
        </w:tblCellMar>
      </w:tblPr>
      <w:tblGrid>
        <w:gridCol w:w="567"/>
        <w:gridCol w:w="1800"/>
        <w:gridCol w:w="1200"/>
        <w:gridCol w:w="1200"/>
        <w:gridCol w:w="1329"/>
        <w:gridCol w:w="1276"/>
        <w:gridCol w:w="1276"/>
        <w:gridCol w:w="1559"/>
      </w:tblGrid>
      <w:tr>
        <w:tblPrEx>
          <w:tblCellMar>
            <w:top w:w="0" w:type="dxa"/>
            <w:left w:w="108" w:type="dxa"/>
            <w:bottom w:w="0" w:type="dxa"/>
            <w:right w:w="108" w:type="dxa"/>
          </w:tblCellMar>
        </w:tblPrEx>
        <w:trPr>
          <w:cantSplit/>
          <w:trHeight w:val="82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序号</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产品名称</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商标品牌</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规格型号</w:t>
            </w:r>
          </w:p>
        </w:tc>
        <w:tc>
          <w:tcPr>
            <w:tcW w:w="1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生产厂家</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数</w:t>
            </w:r>
            <w:r>
              <w:rPr>
                <w:rFonts w:hint="eastAsia" w:ascii="黑体" w:hAnsi="黑体" w:eastAsia="黑体"/>
                <w:sz w:val="24"/>
                <w:szCs w:val="24"/>
              </w:rPr>
              <w:t xml:space="preserve">  </w:t>
            </w:r>
            <w:r>
              <w:rPr>
                <w:rFonts w:ascii="黑体" w:hAnsi="黑体" w:eastAsia="黑体"/>
                <w:sz w:val="24"/>
                <w:szCs w:val="24"/>
              </w:rPr>
              <w:t>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及单位</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单</w:t>
            </w:r>
            <w:r>
              <w:rPr>
                <w:rFonts w:hint="eastAsia" w:ascii="黑体" w:hAnsi="黑体" w:eastAsia="黑体"/>
                <w:sz w:val="24"/>
                <w:szCs w:val="24"/>
              </w:rPr>
              <w:t xml:space="preserve">  </w:t>
            </w:r>
            <w:r>
              <w:rPr>
                <w:rFonts w:ascii="黑体" w:hAnsi="黑体" w:eastAsia="黑体"/>
                <w:sz w:val="24"/>
                <w:szCs w:val="24"/>
              </w:rPr>
              <w:t>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（元）</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金</w:t>
            </w:r>
            <w:r>
              <w:rPr>
                <w:rFonts w:hint="eastAsia" w:ascii="黑体" w:hAnsi="黑体" w:eastAsia="黑体"/>
                <w:sz w:val="24"/>
                <w:szCs w:val="24"/>
              </w:rPr>
              <w:t xml:space="preserve">  </w:t>
            </w:r>
            <w:r>
              <w:rPr>
                <w:rFonts w:ascii="黑体" w:hAnsi="黑体" w:eastAsia="黑体"/>
                <w:sz w:val="24"/>
                <w:szCs w:val="24"/>
              </w:rPr>
              <w:t>额</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黑体" w:eastAsia="黑体"/>
                <w:sz w:val="24"/>
                <w:szCs w:val="24"/>
              </w:rPr>
            </w:pPr>
            <w:r>
              <w:rPr>
                <w:rFonts w:ascii="黑体" w:hAnsi="黑体" w:eastAsia="黑体"/>
                <w:sz w:val="24"/>
                <w:szCs w:val="24"/>
              </w:rPr>
              <w:t>（元）</w:t>
            </w:r>
          </w:p>
        </w:tc>
      </w:tr>
      <w:tr>
        <w:tblPrEx>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1</w:t>
            </w:r>
          </w:p>
        </w:tc>
        <w:tc>
          <w:tcPr>
            <w:tcW w:w="18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32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r>
      <w:tr>
        <w:tblPrEx>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2</w:t>
            </w:r>
          </w:p>
        </w:tc>
        <w:tc>
          <w:tcPr>
            <w:tcW w:w="18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32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r>
      <w:tr>
        <w:tblPrEx>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3</w:t>
            </w:r>
          </w:p>
        </w:tc>
        <w:tc>
          <w:tcPr>
            <w:tcW w:w="18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32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r>
      <w:tr>
        <w:tblPrEx>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4</w:t>
            </w:r>
          </w:p>
        </w:tc>
        <w:tc>
          <w:tcPr>
            <w:tcW w:w="18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32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r>
      <w:tr>
        <w:tblPrEx>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5</w:t>
            </w:r>
          </w:p>
        </w:tc>
        <w:tc>
          <w:tcPr>
            <w:tcW w:w="18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32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r>
      <w:tr>
        <w:tblPrEx>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6</w:t>
            </w:r>
          </w:p>
        </w:tc>
        <w:tc>
          <w:tcPr>
            <w:tcW w:w="18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00"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32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sz w:val="24"/>
                <w:szCs w:val="24"/>
              </w:rPr>
            </w:pPr>
          </w:p>
        </w:tc>
      </w:tr>
      <w:tr>
        <w:tblPrEx>
          <w:tblCellMar>
            <w:top w:w="0" w:type="dxa"/>
            <w:left w:w="108" w:type="dxa"/>
            <w:bottom w:w="0" w:type="dxa"/>
            <w:right w:w="108" w:type="dxa"/>
          </w:tblCellMar>
        </w:tblPrEx>
        <w:trPr>
          <w:cantSplit/>
          <w:trHeight w:val="465" w:hRule="atLeast"/>
        </w:trPr>
        <w:tc>
          <w:tcPr>
            <w:tcW w:w="1020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szCs w:val="24"/>
              </w:rPr>
            </w:pPr>
            <w:r>
              <w:rPr>
                <w:rFonts w:ascii="黑体" w:hAnsi="黑体" w:eastAsia="黑体"/>
                <w:sz w:val="24"/>
                <w:szCs w:val="24"/>
              </w:rPr>
              <w:t>合计金额</w:t>
            </w:r>
            <w:r>
              <w:rPr>
                <w:rFonts w:hint="eastAsia" w:ascii="黑体" w:hAnsi="黑体" w:eastAsia="黑体"/>
                <w:sz w:val="24"/>
                <w:szCs w:val="24"/>
              </w:rPr>
              <w:t>：</w:t>
            </w:r>
            <w:r>
              <w:rPr>
                <w:rFonts w:ascii="黑体" w:hAnsi="黑体" w:eastAsia="黑体"/>
                <w:sz w:val="24"/>
                <w:szCs w:val="24"/>
              </w:rPr>
              <w:t>（大写）</w:t>
            </w:r>
            <w:r>
              <w:rPr>
                <w:rFonts w:hint="eastAsia" w:ascii="黑体" w:hAnsi="黑体" w:eastAsia="黑体"/>
                <w:sz w:val="24"/>
                <w:szCs w:val="24"/>
              </w:rPr>
              <w:t>人民币</w:t>
            </w:r>
            <w:r>
              <w:rPr>
                <w:rFonts w:hint="eastAsia"/>
                <w:sz w:val="24"/>
                <w:szCs w:val="24"/>
              </w:rPr>
              <w:t xml:space="preserve">                        </w:t>
            </w:r>
            <w:r>
              <w:rPr>
                <w:rFonts w:ascii="黑体" w:hAnsi="黑体" w:eastAsia="黑体"/>
                <w:sz w:val="24"/>
                <w:szCs w:val="24"/>
              </w:rPr>
              <w:t xml:space="preserve">（小写）￥ </w:t>
            </w:r>
            <w:r>
              <w:rPr>
                <w:sz w:val="24"/>
                <w:szCs w:val="24"/>
              </w:rPr>
              <w:t xml:space="preserve">                </w:t>
            </w:r>
          </w:p>
        </w:tc>
      </w:tr>
    </w:tbl>
    <w:p>
      <w:pPr>
        <w:snapToGrid w:val="0"/>
        <w:spacing w:line="360" w:lineRule="auto"/>
        <w:ind w:right="-58"/>
        <w:rPr>
          <w:rFonts w:hint="eastAsia"/>
          <w:sz w:val="24"/>
          <w:szCs w:val="24"/>
        </w:rPr>
      </w:pPr>
    </w:p>
    <w:p>
      <w:pPr>
        <w:numPr>
          <w:ilvl w:val="0"/>
          <w:numId w:val="12"/>
        </w:numPr>
        <w:spacing w:line="360" w:lineRule="auto"/>
        <w:ind w:hanging="318"/>
        <w:jc w:val="left"/>
        <w:rPr>
          <w:rFonts w:hint="eastAsia" w:ascii="黑体" w:hAnsi="黑体" w:eastAsia="黑体"/>
          <w:sz w:val="24"/>
          <w:szCs w:val="24"/>
        </w:rPr>
      </w:pPr>
      <w:r>
        <w:rPr>
          <w:rFonts w:hint="eastAsia" w:ascii="黑体" w:hAnsi="黑体" w:eastAsia="黑体"/>
          <w:sz w:val="24"/>
          <w:szCs w:val="24"/>
        </w:rPr>
        <w:t>履行期限</w:t>
      </w:r>
    </w:p>
    <w:p>
      <w:pPr>
        <w:snapToGrid w:val="0"/>
        <w:spacing w:line="360" w:lineRule="auto"/>
        <w:ind w:right="-58" w:firstLine="480" w:firstLineChars="200"/>
        <w:rPr>
          <w:rFonts w:hint="eastAsia" w:ascii="仿宋" w:hAnsi="仿宋" w:eastAsia="仿宋"/>
          <w:sz w:val="24"/>
          <w:szCs w:val="24"/>
        </w:rPr>
      </w:pPr>
      <w:r>
        <w:rPr>
          <w:rFonts w:hint="eastAsia" w:ascii="仿宋" w:hAnsi="仿宋" w:eastAsia="仿宋"/>
          <w:sz w:val="24"/>
          <w:szCs w:val="24"/>
        </w:rPr>
        <w:t>1．乙方应于本合同生效后</w:t>
      </w:r>
      <w:r>
        <w:rPr>
          <w:rFonts w:hint="eastAsia" w:ascii="仿宋" w:hAnsi="仿宋" w:eastAsia="仿宋"/>
          <w:sz w:val="24"/>
          <w:szCs w:val="24"/>
          <w:u w:val="single"/>
        </w:rPr>
        <w:t xml:space="preserve">     </w:t>
      </w:r>
      <w:r>
        <w:rPr>
          <w:rFonts w:hint="eastAsia" w:ascii="仿宋" w:hAnsi="仿宋" w:eastAsia="仿宋"/>
          <w:sz w:val="24"/>
          <w:szCs w:val="24"/>
        </w:rPr>
        <w:t>日内将符合约定的产品交付给甲方并完成</w:t>
      </w:r>
      <w:r>
        <w:rPr>
          <w:rFonts w:hint="eastAsia" w:ascii="仿宋" w:hAnsi="仿宋" w:eastAsia="仿宋"/>
          <w:sz w:val="24"/>
          <w:szCs w:val="24"/>
          <w:lang w:val="en-US" w:eastAsia="zh-CN"/>
        </w:rPr>
        <w:t>验收</w:t>
      </w:r>
      <w:r>
        <w:rPr>
          <w:rFonts w:hint="eastAsia" w:ascii="仿宋" w:hAnsi="仿宋" w:eastAsia="仿宋"/>
          <w:sz w:val="24"/>
          <w:szCs w:val="24"/>
        </w:rPr>
        <w:t>。乙方交付前应先通知甲方并征得甲方同意，否则甲方有权拒收产品。</w:t>
      </w:r>
    </w:p>
    <w:p>
      <w:pPr>
        <w:spacing w:line="360" w:lineRule="auto"/>
        <w:ind w:firstLine="480" w:firstLineChars="200"/>
        <w:jc w:val="left"/>
        <w:rPr>
          <w:rFonts w:hint="eastAsia" w:ascii="仿宋" w:hAnsi="仿宋" w:eastAsia="仿宋"/>
          <w:sz w:val="24"/>
          <w:szCs w:val="24"/>
        </w:rPr>
      </w:pPr>
      <w:r>
        <w:rPr>
          <w:rFonts w:hint="eastAsia"/>
          <w:sz w:val="24"/>
          <w:szCs w:val="24"/>
        </w:rPr>
        <w:t>2．</w:t>
      </w:r>
      <w:r>
        <w:rPr>
          <w:rFonts w:hint="eastAsia" w:ascii="仿宋" w:hAnsi="仿宋" w:eastAsia="仿宋"/>
          <w:sz w:val="24"/>
          <w:szCs w:val="24"/>
        </w:rPr>
        <w:t>本合同按以下要求付款：</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本合同生效且乙方提供符合规定的发票后</w:t>
      </w:r>
      <w:r>
        <w:rPr>
          <w:rFonts w:hint="eastAsia" w:ascii="仿宋" w:hAnsi="仿宋" w:eastAsia="仿宋"/>
          <w:sz w:val="24"/>
          <w:szCs w:val="24"/>
          <w:u w:val="single"/>
        </w:rPr>
        <w:t xml:space="preserve">        </w:t>
      </w:r>
      <w:r>
        <w:rPr>
          <w:rFonts w:hint="eastAsia" w:ascii="仿宋" w:hAnsi="仿宋" w:eastAsia="仿宋"/>
          <w:sz w:val="24"/>
          <w:szCs w:val="24"/>
        </w:rPr>
        <w:t>日内，甲方向乙方支付合同总额的</w:t>
      </w:r>
      <w:r>
        <w:rPr>
          <w:rFonts w:hint="eastAsia" w:ascii="仿宋" w:hAnsi="仿宋" w:eastAsia="仿宋"/>
          <w:sz w:val="24"/>
          <w:szCs w:val="24"/>
          <w:u w:val="single"/>
        </w:rPr>
        <w:t xml:space="preserve">         </w:t>
      </w:r>
      <w:r>
        <w:rPr>
          <w:rFonts w:hint="eastAsia" w:ascii="仿宋" w:hAnsi="仿宋" w:eastAsia="仿宋"/>
          <w:sz w:val="24"/>
          <w:szCs w:val="24"/>
        </w:rPr>
        <w:t>%，即人民币</w:t>
      </w:r>
      <w:r>
        <w:rPr>
          <w:rFonts w:hint="eastAsia" w:ascii="仿宋" w:hAnsi="仿宋" w:eastAsia="仿宋"/>
          <w:sz w:val="24"/>
          <w:szCs w:val="24"/>
          <w:u w:val="single"/>
        </w:rPr>
        <w:t xml:space="preserve">            </w:t>
      </w:r>
      <w:r>
        <w:rPr>
          <w:rFonts w:hint="eastAsia" w:ascii="仿宋" w:hAnsi="仿宋" w:eastAsia="仿宋"/>
          <w:sz w:val="24"/>
          <w:szCs w:val="24"/>
        </w:rPr>
        <w:t>（小写：</w:t>
      </w:r>
      <w:r>
        <w:rPr>
          <w:rFonts w:hint="eastAsia" w:ascii="仿宋" w:hAnsi="仿宋" w:eastAsia="仿宋"/>
          <w:sz w:val="24"/>
          <w:szCs w:val="24"/>
          <w:u w:val="single"/>
        </w:rPr>
        <w:t xml:space="preserve">  ￥         元</w:t>
      </w:r>
      <w:r>
        <w:rPr>
          <w:rFonts w:hint="eastAsia" w:ascii="仿宋" w:hAnsi="仿宋" w:eastAsia="仿宋"/>
          <w:sz w:val="24"/>
          <w:szCs w:val="24"/>
        </w:rPr>
        <w:t>）；乙方履行完毕验收合格且乙方提供符合规定的发票后</w:t>
      </w:r>
      <w:r>
        <w:rPr>
          <w:rFonts w:hint="eastAsia" w:ascii="仿宋" w:hAnsi="仿宋" w:eastAsia="仿宋"/>
          <w:sz w:val="24"/>
          <w:szCs w:val="24"/>
          <w:u w:val="single"/>
        </w:rPr>
        <w:t xml:space="preserve">        </w:t>
      </w:r>
      <w:r>
        <w:rPr>
          <w:rFonts w:hint="eastAsia" w:ascii="仿宋" w:hAnsi="仿宋" w:eastAsia="仿宋"/>
          <w:sz w:val="24"/>
          <w:szCs w:val="24"/>
        </w:rPr>
        <w:t>日内，甲方向乙方支付合同总额的</w:t>
      </w:r>
      <w:r>
        <w:rPr>
          <w:rFonts w:hint="eastAsia" w:ascii="仿宋" w:hAnsi="仿宋" w:eastAsia="仿宋"/>
          <w:sz w:val="24"/>
          <w:szCs w:val="24"/>
          <w:u w:val="single"/>
        </w:rPr>
        <w:t xml:space="preserve">         </w:t>
      </w:r>
      <w:r>
        <w:rPr>
          <w:rFonts w:hint="eastAsia" w:ascii="仿宋" w:hAnsi="仿宋" w:eastAsia="仿宋"/>
          <w:sz w:val="24"/>
          <w:szCs w:val="24"/>
        </w:rPr>
        <w:t>%，即人民币</w:t>
      </w:r>
      <w:r>
        <w:rPr>
          <w:rFonts w:hint="eastAsia" w:ascii="仿宋" w:hAnsi="仿宋" w:eastAsia="仿宋"/>
          <w:sz w:val="24"/>
          <w:szCs w:val="24"/>
          <w:u w:val="single"/>
        </w:rPr>
        <w:t xml:space="preserve">             </w:t>
      </w:r>
      <w:r>
        <w:rPr>
          <w:rFonts w:hint="eastAsia" w:ascii="仿宋" w:hAnsi="仿宋" w:eastAsia="仿宋"/>
          <w:sz w:val="24"/>
          <w:szCs w:val="24"/>
        </w:rPr>
        <w:t>元（小写：</w:t>
      </w:r>
      <w:r>
        <w:rPr>
          <w:rFonts w:hint="eastAsia" w:ascii="仿宋" w:hAnsi="仿宋" w:eastAsia="仿宋"/>
          <w:sz w:val="24"/>
          <w:szCs w:val="24"/>
          <w:u w:val="single"/>
        </w:rPr>
        <w:t xml:space="preserve">  ￥           </w:t>
      </w:r>
      <w:r>
        <w:rPr>
          <w:rFonts w:hint="eastAsia" w:ascii="仿宋" w:hAnsi="仿宋" w:eastAsia="仿宋"/>
          <w:sz w:val="24"/>
          <w:szCs w:val="24"/>
        </w:rPr>
        <w:t>）。</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rPr>
        <w:t>甲方支付的款项包含但不限于乙方所承担的税费、产品价款、运输费、安装调试费、包装费、人工费、操作培训费以及合理的利润等。除经协商一致变更本合同外，甲方无需再向乙方支付任何款项。</w:t>
      </w:r>
    </w:p>
    <w:p>
      <w:pPr>
        <w:spacing w:line="360" w:lineRule="auto"/>
        <w:ind w:firstLine="480" w:firstLineChars="200"/>
        <w:jc w:val="left"/>
        <w:rPr>
          <w:rFonts w:hint="eastAsia" w:ascii="仿宋" w:hAnsi="仿宋" w:eastAsia="仿宋"/>
          <w:color w:val="FF0000"/>
          <w:sz w:val="24"/>
          <w:szCs w:val="24"/>
        </w:rPr>
      </w:pPr>
      <w:r>
        <w:rPr>
          <w:rFonts w:hint="eastAsia" w:ascii="仿宋" w:hAnsi="仿宋" w:eastAsia="仿宋"/>
          <w:sz w:val="24"/>
          <w:szCs w:val="24"/>
        </w:rPr>
        <w:t>3．</w:t>
      </w:r>
      <w:r>
        <w:rPr>
          <w:rFonts w:hint="eastAsia" w:ascii="仿宋" w:hAnsi="仿宋" w:eastAsia="仿宋"/>
          <w:color w:val="auto"/>
          <w:sz w:val="24"/>
          <w:szCs w:val="24"/>
        </w:rPr>
        <w:t>乙方在请求付款时应提供收款银行账户信息。</w:t>
      </w:r>
    </w:p>
    <w:p>
      <w:pPr>
        <w:numPr>
          <w:ilvl w:val="0"/>
          <w:numId w:val="12"/>
        </w:numPr>
        <w:spacing w:line="360" w:lineRule="auto"/>
        <w:ind w:hanging="318"/>
        <w:jc w:val="left"/>
        <w:rPr>
          <w:rFonts w:hint="eastAsia" w:ascii="黑体" w:hAnsi="黑体" w:eastAsia="黑体"/>
          <w:bCs/>
          <w:sz w:val="24"/>
          <w:szCs w:val="24"/>
        </w:rPr>
      </w:pPr>
      <w:r>
        <w:rPr>
          <w:rFonts w:hint="eastAsia" w:ascii="黑体" w:hAnsi="黑体" w:eastAsia="黑体"/>
          <w:bCs/>
          <w:sz w:val="24"/>
          <w:szCs w:val="24"/>
        </w:rPr>
        <w:t>履约保证金</w:t>
      </w:r>
    </w:p>
    <w:p>
      <w:pPr>
        <w:spacing w:line="360" w:lineRule="auto"/>
        <w:ind w:firstLine="480" w:firstLineChars="200"/>
        <w:jc w:val="left"/>
        <w:rPr>
          <w:rFonts w:hint="eastAsia" w:ascii="仿宋" w:hAnsi="仿宋" w:eastAsia="仿宋"/>
          <w:bCs/>
          <w:sz w:val="24"/>
          <w:szCs w:val="24"/>
        </w:rPr>
      </w:pPr>
      <w:r>
        <w:rPr>
          <w:rFonts w:hint="eastAsia" w:ascii="仿宋" w:hAnsi="仿宋" w:eastAsia="仿宋"/>
          <w:bCs/>
          <w:sz w:val="24"/>
          <w:szCs w:val="24"/>
        </w:rPr>
        <w:t>本合同：</w:t>
      </w:r>
    </w:p>
    <w:p>
      <w:pPr>
        <w:spacing w:line="360" w:lineRule="auto"/>
        <w:ind w:firstLine="480" w:firstLineChars="200"/>
        <w:jc w:val="left"/>
        <w:rPr>
          <w:rFonts w:hint="eastAsia" w:ascii="仿宋" w:hAnsi="仿宋" w:eastAsia="仿宋"/>
          <w:bCs/>
          <w:sz w:val="24"/>
          <w:szCs w:val="24"/>
        </w:rPr>
      </w:pPr>
      <w:r>
        <w:rPr>
          <w:rFonts w:hint="eastAsia" w:ascii="仿宋" w:hAnsi="仿宋" w:eastAsia="仿宋"/>
          <w:bCs/>
          <w:sz w:val="24"/>
          <w:szCs w:val="24"/>
        </w:rPr>
        <w:t>□无履约保证金。</w:t>
      </w:r>
    </w:p>
    <w:p>
      <w:pPr>
        <w:spacing w:line="360" w:lineRule="auto"/>
        <w:ind w:firstLine="480" w:firstLineChars="200"/>
        <w:jc w:val="left"/>
        <w:rPr>
          <w:rFonts w:hint="eastAsia" w:ascii="仿宋" w:hAnsi="仿宋" w:eastAsia="仿宋"/>
          <w:bCs/>
          <w:sz w:val="24"/>
          <w:szCs w:val="24"/>
          <w:u w:val="single"/>
        </w:rPr>
      </w:pPr>
      <w:r>
        <w:rPr>
          <w:rFonts w:hint="eastAsia" w:ascii="仿宋" w:hAnsi="仿宋" w:eastAsia="仿宋"/>
          <w:bCs/>
          <w:sz w:val="24"/>
          <w:szCs w:val="24"/>
        </w:rPr>
        <w:t>□有履约保证金。乙方应于</w:t>
      </w:r>
      <w:r>
        <w:rPr>
          <w:rFonts w:hint="eastAsia" w:ascii="仿宋" w:hAnsi="仿宋" w:eastAsia="仿宋"/>
          <w:bCs/>
          <w:sz w:val="24"/>
          <w:szCs w:val="24"/>
          <w:u w:val="single"/>
        </w:rPr>
        <w:t xml:space="preserve">          </w:t>
      </w:r>
      <w:r>
        <w:rPr>
          <w:rFonts w:hint="eastAsia" w:ascii="仿宋" w:hAnsi="仿宋" w:eastAsia="仿宋"/>
          <w:bCs/>
          <w:sz w:val="24"/>
          <w:szCs w:val="24"/>
        </w:rPr>
        <w:t>向甲方一次性支付人民币</w:t>
      </w:r>
      <w:r>
        <w:rPr>
          <w:rFonts w:hint="eastAsia" w:ascii="仿宋" w:hAnsi="仿宋" w:eastAsia="仿宋"/>
          <w:sz w:val="24"/>
          <w:szCs w:val="24"/>
          <w:u w:val="single"/>
        </w:rPr>
        <w:t xml:space="preserve">            </w:t>
      </w:r>
      <w:r>
        <w:rPr>
          <w:rFonts w:hint="eastAsia" w:ascii="仿宋" w:hAnsi="仿宋" w:eastAsia="仿宋"/>
          <w:sz w:val="24"/>
          <w:szCs w:val="24"/>
        </w:rPr>
        <w:t>（小写：</w:t>
      </w:r>
      <w:r>
        <w:rPr>
          <w:rFonts w:hint="eastAsia" w:ascii="仿宋" w:hAnsi="仿宋" w:eastAsia="仿宋"/>
          <w:sz w:val="24"/>
          <w:szCs w:val="24"/>
          <w:u w:val="single"/>
        </w:rPr>
        <w:t xml:space="preserve">  ￥         元</w:t>
      </w:r>
      <w:r>
        <w:rPr>
          <w:rFonts w:hint="eastAsia" w:ascii="仿宋" w:hAnsi="仿宋" w:eastAsia="仿宋"/>
          <w:sz w:val="24"/>
          <w:szCs w:val="24"/>
        </w:rPr>
        <w:t>）作为履约保证金，产品验收合格后甲方一次性无息返还给乙方。因乙方违约应承担赔偿责任的，甲方有权从履约保证金中直接扣除。</w:t>
      </w:r>
    </w:p>
    <w:p>
      <w:pPr>
        <w:numPr>
          <w:ilvl w:val="0"/>
          <w:numId w:val="12"/>
        </w:numPr>
        <w:spacing w:line="360" w:lineRule="auto"/>
        <w:ind w:hanging="318"/>
        <w:jc w:val="left"/>
        <w:rPr>
          <w:rFonts w:hint="eastAsia" w:ascii="黑体" w:hAnsi="黑体" w:eastAsia="黑体"/>
          <w:sz w:val="24"/>
          <w:szCs w:val="24"/>
        </w:rPr>
      </w:pPr>
      <w:r>
        <w:rPr>
          <w:rFonts w:hint="eastAsia" w:ascii="黑体" w:hAnsi="黑体" w:eastAsia="黑体"/>
          <w:sz w:val="24"/>
          <w:szCs w:val="24"/>
        </w:rPr>
        <w:t>履行地点</w:t>
      </w:r>
    </w:p>
    <w:p>
      <w:pPr>
        <w:snapToGrid w:val="0"/>
        <w:spacing w:line="360" w:lineRule="auto"/>
        <w:ind w:right="-58" w:firstLine="480" w:firstLineChars="200"/>
        <w:rPr>
          <w:rFonts w:ascii="仿宋" w:hAnsi="仿宋" w:eastAsia="仿宋"/>
          <w:sz w:val="24"/>
          <w:szCs w:val="24"/>
          <w:u w:val="single"/>
        </w:rPr>
      </w:pPr>
      <w:r>
        <w:rPr>
          <w:rFonts w:hint="eastAsia" w:ascii="仿宋" w:hAnsi="仿宋" w:eastAsia="仿宋"/>
          <w:sz w:val="24"/>
          <w:szCs w:val="24"/>
        </w:rPr>
        <w:t>乙方应将产品交付至</w:t>
      </w:r>
      <w:r>
        <w:rPr>
          <w:rFonts w:hint="eastAsia" w:ascii="仿宋" w:hAnsi="仿宋" w:eastAsia="仿宋"/>
          <w:sz w:val="24"/>
          <w:szCs w:val="24"/>
          <w:u w:val="single"/>
        </w:rPr>
        <w:t xml:space="preserve">                                    </w:t>
      </w:r>
      <w:r>
        <w:rPr>
          <w:rFonts w:hint="eastAsia" w:ascii="仿宋" w:hAnsi="仿宋" w:eastAsia="仿宋"/>
          <w:sz w:val="24"/>
          <w:szCs w:val="24"/>
        </w:rPr>
        <w:t>。甲方另行指定交付地点的，应提前通知乙方。</w:t>
      </w:r>
    </w:p>
    <w:p>
      <w:pPr>
        <w:numPr>
          <w:ilvl w:val="0"/>
          <w:numId w:val="12"/>
        </w:numPr>
        <w:spacing w:line="360" w:lineRule="auto"/>
        <w:ind w:hanging="318"/>
        <w:jc w:val="left"/>
        <w:rPr>
          <w:rFonts w:ascii="黑体" w:hAnsi="黑体" w:eastAsia="黑体"/>
          <w:sz w:val="24"/>
          <w:szCs w:val="24"/>
        </w:rPr>
      </w:pPr>
      <w:r>
        <w:rPr>
          <w:rFonts w:hint="eastAsia" w:ascii="黑体" w:hAnsi="黑体" w:eastAsia="黑体"/>
          <w:bCs/>
          <w:sz w:val="24"/>
          <w:szCs w:val="24"/>
        </w:rPr>
        <w:t>瑕疵担保</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乙方所提供的</w:t>
      </w:r>
      <w:r>
        <w:rPr>
          <w:rFonts w:hint="eastAsia" w:ascii="仿宋" w:hAnsi="仿宋" w:eastAsia="仿宋"/>
          <w:sz w:val="24"/>
          <w:szCs w:val="24"/>
        </w:rPr>
        <w:t>产品</w:t>
      </w:r>
      <w:r>
        <w:rPr>
          <w:rFonts w:ascii="仿宋" w:hAnsi="仿宋" w:eastAsia="仿宋"/>
          <w:sz w:val="24"/>
          <w:szCs w:val="24"/>
        </w:rPr>
        <w:t>型号、技术规格、技术参数</w:t>
      </w:r>
      <w:r>
        <w:rPr>
          <w:rFonts w:hint="eastAsia" w:ascii="仿宋" w:hAnsi="仿宋" w:eastAsia="仿宋"/>
          <w:sz w:val="24"/>
          <w:szCs w:val="24"/>
        </w:rPr>
        <w:t>、材质、数量</w:t>
      </w:r>
      <w:r>
        <w:rPr>
          <w:rFonts w:ascii="仿宋" w:hAnsi="仿宋" w:eastAsia="仿宋"/>
          <w:sz w:val="24"/>
          <w:szCs w:val="24"/>
        </w:rPr>
        <w:t>等必须与招投标文件一致。</w:t>
      </w:r>
      <w:r>
        <w:rPr>
          <w:rFonts w:hint="eastAsia" w:ascii="仿宋" w:hAnsi="仿宋" w:eastAsia="仿宋"/>
          <w:sz w:val="24"/>
          <w:szCs w:val="24"/>
        </w:rPr>
        <w:t>否则，甲方有权拒绝接收产品。</w:t>
      </w:r>
    </w:p>
    <w:p>
      <w:pPr>
        <w:snapToGrid w:val="0"/>
        <w:spacing w:line="360" w:lineRule="auto"/>
        <w:ind w:firstLine="480" w:firstLineChars="200"/>
        <w:rPr>
          <w:rFonts w:ascii="仿宋" w:hAnsi="仿宋" w:eastAsia="仿宋"/>
          <w:sz w:val="24"/>
          <w:szCs w:val="24"/>
          <w:u w:val="single"/>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乙方所提供的</w:t>
      </w:r>
      <w:r>
        <w:rPr>
          <w:rFonts w:hint="eastAsia" w:ascii="仿宋" w:hAnsi="仿宋" w:eastAsia="仿宋"/>
          <w:sz w:val="24"/>
          <w:szCs w:val="24"/>
        </w:rPr>
        <w:t>产品</w:t>
      </w:r>
      <w:r>
        <w:rPr>
          <w:rFonts w:ascii="仿宋" w:hAnsi="仿宋" w:eastAsia="仿宋"/>
          <w:sz w:val="24"/>
          <w:szCs w:val="24"/>
        </w:rPr>
        <w:t>必须是全新、未使用的原装产品，且在正常安装、使用和保养条件下，其使用寿命期内各项指标均达到质量要求。</w:t>
      </w:r>
      <w:r>
        <w:rPr>
          <w:rFonts w:hint="eastAsia" w:ascii="仿宋" w:hAnsi="仿宋" w:eastAsia="仿宋"/>
          <w:sz w:val="24"/>
          <w:szCs w:val="24"/>
        </w:rPr>
        <w:t>否则，甲方有权拒绝接收产品。</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乙方应保证所提供</w:t>
      </w:r>
      <w:r>
        <w:rPr>
          <w:rFonts w:hint="eastAsia" w:ascii="仿宋" w:hAnsi="仿宋" w:eastAsia="仿宋"/>
          <w:sz w:val="24"/>
          <w:szCs w:val="24"/>
        </w:rPr>
        <w:t>产品</w:t>
      </w:r>
      <w:r>
        <w:rPr>
          <w:rFonts w:ascii="仿宋" w:hAnsi="仿宋" w:eastAsia="仿宋"/>
          <w:sz w:val="24"/>
          <w:szCs w:val="24"/>
        </w:rPr>
        <w:t>在不侵犯任何第三方的</w:t>
      </w:r>
      <w:r>
        <w:rPr>
          <w:rFonts w:hint="eastAsia" w:ascii="仿宋" w:hAnsi="仿宋" w:eastAsia="仿宋"/>
          <w:sz w:val="24"/>
          <w:szCs w:val="24"/>
        </w:rPr>
        <w:t>权利，包括但不限于</w:t>
      </w:r>
      <w:r>
        <w:rPr>
          <w:rFonts w:ascii="仿宋" w:hAnsi="仿宋" w:eastAsia="仿宋"/>
          <w:sz w:val="24"/>
          <w:szCs w:val="24"/>
        </w:rPr>
        <w:t>专利权、商标权、</w:t>
      </w:r>
      <w:r>
        <w:rPr>
          <w:rFonts w:hint="eastAsia" w:ascii="仿宋" w:hAnsi="仿宋" w:eastAsia="仿宋"/>
          <w:sz w:val="24"/>
          <w:szCs w:val="24"/>
        </w:rPr>
        <w:t>著作权等知识产权和物权</w:t>
      </w:r>
      <w:r>
        <w:rPr>
          <w:rFonts w:ascii="仿宋" w:hAnsi="仿宋" w:eastAsia="仿宋"/>
          <w:sz w:val="24"/>
          <w:szCs w:val="24"/>
        </w:rPr>
        <w:t>。</w:t>
      </w:r>
    </w:p>
    <w:p>
      <w:pPr>
        <w:numPr>
          <w:ilvl w:val="0"/>
          <w:numId w:val="12"/>
        </w:numPr>
        <w:spacing w:line="360" w:lineRule="auto"/>
        <w:ind w:hanging="318"/>
        <w:jc w:val="left"/>
        <w:rPr>
          <w:rFonts w:ascii="黑体" w:hAnsi="黑体" w:eastAsia="黑体"/>
          <w:bCs/>
          <w:sz w:val="24"/>
          <w:szCs w:val="24"/>
        </w:rPr>
      </w:pPr>
      <w:r>
        <w:rPr>
          <w:rFonts w:ascii="黑体" w:hAnsi="黑体" w:eastAsia="黑体"/>
          <w:bCs/>
          <w:sz w:val="24"/>
          <w:szCs w:val="24"/>
        </w:rPr>
        <w:t>包装和运输</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乙方提供的</w:t>
      </w:r>
      <w:r>
        <w:rPr>
          <w:rFonts w:hint="eastAsia" w:ascii="仿宋" w:hAnsi="仿宋" w:eastAsia="仿宋"/>
          <w:sz w:val="24"/>
          <w:szCs w:val="24"/>
        </w:rPr>
        <w:t>产品</w:t>
      </w:r>
      <w:r>
        <w:rPr>
          <w:rFonts w:ascii="仿宋" w:hAnsi="仿宋" w:eastAsia="仿宋"/>
          <w:sz w:val="24"/>
          <w:szCs w:val="24"/>
        </w:rPr>
        <w:t>均应按招投标文件要求的包装材料、包装标准、包装方式进行包装，每一包装单元内应附详细的装箱单和质量合格证。</w:t>
      </w:r>
      <w:r>
        <w:rPr>
          <w:rFonts w:hint="eastAsia" w:ascii="仿宋" w:hAnsi="仿宋" w:eastAsia="仿宋"/>
          <w:sz w:val="24"/>
          <w:szCs w:val="24"/>
        </w:rPr>
        <w:t>招标文件对包装没有要求的，应采用使产品便于运输、交付的方式包装。</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．乙方承担运输义务，自行委托承运人并购买运输保险，费用由乙方承担。</w:t>
      </w:r>
    </w:p>
    <w:p>
      <w:pPr>
        <w:numPr>
          <w:ilvl w:val="0"/>
          <w:numId w:val="12"/>
        </w:numPr>
        <w:spacing w:line="360" w:lineRule="auto"/>
        <w:ind w:hanging="318"/>
        <w:jc w:val="left"/>
        <w:rPr>
          <w:rFonts w:ascii="黑体" w:hAnsi="黑体" w:eastAsia="黑体"/>
          <w:sz w:val="24"/>
          <w:szCs w:val="24"/>
        </w:rPr>
      </w:pPr>
      <w:r>
        <w:rPr>
          <w:rFonts w:ascii="黑体" w:hAnsi="黑体" w:eastAsia="黑体"/>
          <w:bCs/>
          <w:sz w:val="24"/>
          <w:szCs w:val="24"/>
        </w:rPr>
        <w:t>验收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乙方应将所提供</w:t>
      </w:r>
      <w:r>
        <w:rPr>
          <w:rFonts w:hint="eastAsia" w:ascii="仿宋" w:hAnsi="仿宋" w:eastAsia="仿宋"/>
          <w:sz w:val="24"/>
          <w:szCs w:val="24"/>
        </w:rPr>
        <w:t>产品</w:t>
      </w:r>
      <w:r>
        <w:rPr>
          <w:rFonts w:ascii="仿宋" w:hAnsi="仿宋" w:eastAsia="仿宋"/>
          <w:sz w:val="24"/>
          <w:szCs w:val="24"/>
        </w:rPr>
        <w:t>的装箱清单、用户手册、</w:t>
      </w:r>
      <w:r>
        <w:rPr>
          <w:rFonts w:hint="eastAsia" w:ascii="仿宋" w:hAnsi="仿宋" w:eastAsia="仿宋"/>
          <w:sz w:val="24"/>
          <w:szCs w:val="24"/>
        </w:rPr>
        <w:t>说明书、</w:t>
      </w:r>
      <w:r>
        <w:rPr>
          <w:rFonts w:ascii="仿宋" w:hAnsi="仿宋" w:eastAsia="仿宋"/>
          <w:sz w:val="24"/>
          <w:szCs w:val="24"/>
        </w:rPr>
        <w:t>原厂保修卡、随机资料、工具和备品、备件等交付给甲方。</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甲方应当在到货（安装、调试完）后</w:t>
      </w:r>
      <w:r>
        <w:rPr>
          <w:rFonts w:hint="eastAsia" w:ascii="仿宋" w:hAnsi="仿宋" w:eastAsia="仿宋"/>
          <w:sz w:val="24"/>
          <w:szCs w:val="24"/>
          <w:u w:val="single"/>
        </w:rPr>
        <w:t xml:space="preserve">     </w:t>
      </w:r>
      <w:r>
        <w:rPr>
          <w:rFonts w:ascii="仿宋" w:hAnsi="仿宋" w:eastAsia="仿宋"/>
          <w:sz w:val="24"/>
          <w:szCs w:val="24"/>
        </w:rPr>
        <w:t>个工作日内进行验收，逾期不验收的，视同验收合格。验收合格后由甲乙双方签署</w:t>
      </w:r>
      <w:r>
        <w:rPr>
          <w:rFonts w:hint="eastAsia" w:ascii="仿宋" w:hAnsi="仿宋" w:eastAsia="仿宋"/>
          <w:sz w:val="24"/>
          <w:szCs w:val="24"/>
          <w:lang w:val="en-US" w:eastAsia="zh-CN"/>
        </w:rPr>
        <w:t>货品</w:t>
      </w:r>
      <w:r>
        <w:rPr>
          <w:rFonts w:ascii="仿宋" w:hAnsi="仿宋" w:eastAsia="仿宋"/>
          <w:sz w:val="24"/>
          <w:szCs w:val="24"/>
        </w:rPr>
        <w:t>验收单。</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3．甲方委托第三方进行验收的，以第三方出具的验收报告为验收结果。</w:t>
      </w:r>
      <w:r>
        <w:rPr>
          <w:rFonts w:ascii="仿宋" w:hAnsi="仿宋" w:eastAsia="仿宋"/>
          <w:sz w:val="24"/>
          <w:szCs w:val="24"/>
        </w:rPr>
        <w:t>政府采购中心组织的验收项目，其验收时间以该项目验收方案确定的验收时间为准，验收结果以该项目验收报告结论为准。</w:t>
      </w:r>
    </w:p>
    <w:p>
      <w:pPr>
        <w:numPr>
          <w:ilvl w:val="0"/>
          <w:numId w:val="12"/>
        </w:numPr>
        <w:spacing w:line="360" w:lineRule="auto"/>
        <w:ind w:hanging="318"/>
        <w:jc w:val="left"/>
        <w:rPr>
          <w:rFonts w:hint="eastAsia" w:ascii="黑体" w:hAnsi="黑体" w:eastAsia="黑体"/>
          <w:sz w:val="24"/>
          <w:szCs w:val="24"/>
        </w:rPr>
      </w:pPr>
      <w:r>
        <w:rPr>
          <w:rFonts w:hint="eastAsia" w:ascii="黑体" w:hAnsi="黑体" w:eastAsia="黑体"/>
          <w:sz w:val="24"/>
          <w:szCs w:val="24"/>
        </w:rPr>
        <w:t>所有权及风险转移</w:t>
      </w:r>
    </w:p>
    <w:p>
      <w:pPr>
        <w:spacing w:line="360" w:lineRule="auto"/>
        <w:ind w:left="567"/>
        <w:jc w:val="left"/>
        <w:rPr>
          <w:rFonts w:ascii="仿宋" w:hAnsi="仿宋" w:eastAsia="仿宋"/>
          <w:sz w:val="24"/>
          <w:szCs w:val="24"/>
        </w:rPr>
      </w:pPr>
      <w:r>
        <w:rPr>
          <w:rFonts w:hint="eastAsia" w:ascii="仿宋" w:hAnsi="仿宋" w:eastAsia="仿宋"/>
          <w:sz w:val="24"/>
          <w:szCs w:val="24"/>
        </w:rPr>
        <w:t>产品的所有权和灭失的风险自乙方将产品交付给甲方时转移。</w:t>
      </w:r>
      <w:r>
        <w:rPr>
          <w:rFonts w:ascii="仿宋" w:hAnsi="仿宋" w:eastAsia="仿宋"/>
          <w:sz w:val="24"/>
          <w:szCs w:val="24"/>
        </w:rPr>
        <w:t xml:space="preserve"> </w:t>
      </w:r>
    </w:p>
    <w:p>
      <w:pPr>
        <w:numPr>
          <w:ilvl w:val="0"/>
          <w:numId w:val="12"/>
        </w:numPr>
        <w:spacing w:line="360" w:lineRule="auto"/>
        <w:ind w:hanging="318"/>
        <w:jc w:val="left"/>
        <w:rPr>
          <w:rFonts w:ascii="黑体" w:hAnsi="黑体" w:eastAsia="黑体"/>
          <w:bCs/>
          <w:sz w:val="24"/>
          <w:szCs w:val="24"/>
        </w:rPr>
      </w:pPr>
      <w:r>
        <w:rPr>
          <w:rFonts w:hint="eastAsia" w:ascii="黑体" w:hAnsi="黑体" w:eastAsia="黑体"/>
          <w:bCs/>
          <w:sz w:val="24"/>
          <w:szCs w:val="24"/>
        </w:rPr>
        <w:t>保质期和</w:t>
      </w:r>
      <w:r>
        <w:rPr>
          <w:rFonts w:ascii="黑体" w:hAnsi="黑体" w:eastAsia="黑体"/>
          <w:bCs/>
          <w:sz w:val="24"/>
          <w:szCs w:val="24"/>
        </w:rPr>
        <w:t>售后服务</w:t>
      </w:r>
    </w:p>
    <w:p>
      <w:pPr>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1、</w:t>
      </w:r>
      <w:r>
        <w:rPr>
          <w:rFonts w:hint="eastAsia" w:ascii="仿宋" w:hAnsi="仿宋" w:eastAsia="仿宋"/>
          <w:sz w:val="24"/>
          <w:szCs w:val="24"/>
        </w:rPr>
        <w:t>本合同产品及安装的保质期为</w:t>
      </w:r>
      <w:r>
        <w:rPr>
          <w:rFonts w:hint="eastAsia" w:ascii="仿宋" w:hAnsi="仿宋" w:eastAsia="仿宋"/>
          <w:sz w:val="24"/>
          <w:szCs w:val="24"/>
          <w:u w:val="single"/>
        </w:rPr>
        <w:t xml:space="preserve">     </w:t>
      </w:r>
      <w:r>
        <w:rPr>
          <w:rFonts w:hint="eastAsia" w:ascii="仿宋" w:hAnsi="仿宋" w:eastAsia="仿宋"/>
          <w:sz w:val="24"/>
          <w:szCs w:val="24"/>
        </w:rPr>
        <w:t>年，自产品和安装验收合格后起算。保质期内，产品发生故障的，乙方免费进行修理，两次修理仍不能正常工作的，甲方有权选择解除合同或者要求更换产品。修理过程中需要更换零部件的，乙方应免费提供全新的、相同规格的零部件。</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保质期内以及保质期外，出现产品问题时乙方应保证24小时内赶到产品使用地进行维修。紧急情况时，应在甲方指定的时间内到达维修地点实施维修。</w:t>
      </w:r>
    </w:p>
    <w:p>
      <w:pPr>
        <w:snapToGrid w:val="0"/>
        <w:spacing w:line="360" w:lineRule="auto"/>
        <w:ind w:firstLine="480" w:firstLineChars="200"/>
        <w:rPr>
          <w:rFonts w:ascii="仿宋" w:hAnsi="仿宋" w:eastAsia="仿宋"/>
          <w:sz w:val="24"/>
          <w:szCs w:val="24"/>
          <w:u w:val="single"/>
        </w:rPr>
      </w:pPr>
      <w:r>
        <w:rPr>
          <w:rFonts w:hint="eastAsia" w:ascii="仿宋" w:hAnsi="仿宋" w:eastAsia="仿宋"/>
          <w:sz w:val="24"/>
          <w:szCs w:val="24"/>
        </w:rPr>
        <w:t>3.保质期外，乙方仍应承担售后服务，发生的费用由双方另行约定。</w:t>
      </w:r>
    </w:p>
    <w:p>
      <w:pPr>
        <w:numPr>
          <w:ilvl w:val="0"/>
          <w:numId w:val="12"/>
        </w:numPr>
        <w:spacing w:line="360" w:lineRule="auto"/>
        <w:ind w:hanging="318"/>
        <w:jc w:val="left"/>
        <w:rPr>
          <w:rFonts w:ascii="黑体" w:hAnsi="黑体" w:eastAsia="黑体"/>
          <w:sz w:val="24"/>
          <w:szCs w:val="24"/>
        </w:rPr>
      </w:pPr>
      <w:r>
        <w:rPr>
          <w:rFonts w:ascii="黑体" w:hAnsi="黑体" w:eastAsia="黑体"/>
          <w:bCs/>
          <w:sz w:val="24"/>
          <w:szCs w:val="24"/>
        </w:rPr>
        <w:t>违约责任</w:t>
      </w:r>
    </w:p>
    <w:p>
      <w:pPr>
        <w:snapToGrid w:val="0"/>
        <w:spacing w:line="360" w:lineRule="auto"/>
        <w:ind w:firstLine="540" w:firstLineChars="225"/>
        <w:rPr>
          <w:rFonts w:hint="eastAsia" w:ascii="仿宋" w:hAnsi="仿宋" w:eastAsia="仿宋"/>
          <w:sz w:val="24"/>
          <w:szCs w:val="24"/>
        </w:rPr>
      </w:pPr>
      <w:r>
        <w:rPr>
          <w:rFonts w:ascii="仿宋" w:hAnsi="仿宋" w:eastAsia="仿宋"/>
          <w:sz w:val="24"/>
          <w:szCs w:val="24"/>
        </w:rPr>
        <w:t>1</w:t>
      </w:r>
      <w:r>
        <w:rPr>
          <w:rFonts w:hint="eastAsia" w:ascii="仿宋" w:hAnsi="仿宋" w:eastAsia="仿宋"/>
          <w:sz w:val="24"/>
          <w:szCs w:val="24"/>
        </w:rPr>
        <w:t>．乙方逾期交付全部且合格的产品的，每逾期一日按照合同金额千分之一的标准向甲方支付违约金。逾期超过十日，甲方有权解除合同、要求返还已支付的款项并要求支付合同金额20%的违约金。</w:t>
      </w:r>
    </w:p>
    <w:p>
      <w:pPr>
        <w:snapToGrid w:val="0"/>
        <w:spacing w:line="360" w:lineRule="auto"/>
        <w:ind w:firstLine="540" w:firstLineChars="225"/>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乙方所提供的</w:t>
      </w:r>
      <w:r>
        <w:rPr>
          <w:rFonts w:hint="eastAsia" w:ascii="仿宋" w:hAnsi="仿宋" w:eastAsia="仿宋"/>
          <w:sz w:val="24"/>
          <w:szCs w:val="24"/>
        </w:rPr>
        <w:t>产品经验收不合格，经修理或者更换后仍不合格的，甲方有权解除合同、要求返还已支付的款项并要求支付合同金额20%的违约金。</w:t>
      </w:r>
    </w:p>
    <w:p>
      <w:pPr>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rPr>
        <w:t>3．因</w:t>
      </w:r>
      <w:r>
        <w:rPr>
          <w:rFonts w:ascii="仿宋" w:hAnsi="仿宋" w:eastAsia="仿宋"/>
          <w:sz w:val="24"/>
          <w:szCs w:val="24"/>
        </w:rPr>
        <w:t>乙方提供的</w:t>
      </w:r>
      <w:r>
        <w:rPr>
          <w:rFonts w:hint="eastAsia" w:ascii="仿宋" w:hAnsi="仿宋" w:eastAsia="仿宋"/>
          <w:sz w:val="24"/>
          <w:szCs w:val="24"/>
        </w:rPr>
        <w:t>产品</w:t>
      </w:r>
      <w:r>
        <w:rPr>
          <w:rFonts w:ascii="仿宋" w:hAnsi="仿宋" w:eastAsia="仿宋"/>
          <w:sz w:val="24"/>
          <w:szCs w:val="24"/>
        </w:rPr>
        <w:t>侵犯了第三方合法权益而引发的任何</w:t>
      </w:r>
      <w:r>
        <w:rPr>
          <w:rFonts w:hint="eastAsia" w:ascii="仿宋" w:hAnsi="仿宋" w:eastAsia="仿宋"/>
          <w:sz w:val="24"/>
          <w:szCs w:val="24"/>
        </w:rPr>
        <w:t>法律责任</w:t>
      </w:r>
      <w:r>
        <w:rPr>
          <w:rFonts w:ascii="仿宋" w:hAnsi="仿宋" w:eastAsia="仿宋"/>
          <w:sz w:val="24"/>
          <w:szCs w:val="24"/>
        </w:rPr>
        <w:t>，均由乙方</w:t>
      </w:r>
      <w:r>
        <w:rPr>
          <w:rFonts w:hint="eastAsia" w:ascii="仿宋" w:hAnsi="仿宋" w:eastAsia="仿宋"/>
          <w:sz w:val="24"/>
          <w:szCs w:val="24"/>
        </w:rPr>
        <w:t>承担</w:t>
      </w:r>
      <w:r>
        <w:rPr>
          <w:rFonts w:ascii="仿宋" w:hAnsi="仿宋" w:eastAsia="仿宋"/>
          <w:sz w:val="24"/>
          <w:szCs w:val="24"/>
        </w:rPr>
        <w:t>。</w:t>
      </w:r>
      <w:r>
        <w:rPr>
          <w:rFonts w:hint="eastAsia" w:ascii="仿宋" w:hAnsi="仿宋" w:eastAsia="仿宋"/>
          <w:bCs/>
          <w:sz w:val="24"/>
          <w:szCs w:val="24"/>
        </w:rPr>
        <w:t>甲方若承担了因乙方的过错而导致的任何停止使用或者赔偿责任的，除有权要求乙方赔偿外，还有权要求乙方支付合同金额20%的违约金</w:t>
      </w:r>
      <w:r>
        <w:rPr>
          <w:rFonts w:hint="eastAsia" w:ascii="仿宋" w:hAnsi="仿宋" w:eastAsia="仿宋"/>
          <w:sz w:val="24"/>
          <w:szCs w:val="24"/>
        </w:rPr>
        <w:t>。</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4．乙方无正当理由解除合同的，应向甲方支付合同总额20%的违约金。</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5．甲方违约的，应按照合同法有关规定承担违约责任。</w:t>
      </w:r>
    </w:p>
    <w:p>
      <w:pPr>
        <w:numPr>
          <w:ilvl w:val="0"/>
          <w:numId w:val="12"/>
        </w:numPr>
        <w:spacing w:line="360" w:lineRule="auto"/>
        <w:ind w:hanging="318"/>
        <w:jc w:val="left"/>
        <w:rPr>
          <w:rFonts w:ascii="黑体" w:hAnsi="黑体" w:eastAsia="黑体"/>
          <w:bCs/>
          <w:sz w:val="24"/>
          <w:szCs w:val="24"/>
        </w:rPr>
      </w:pPr>
      <w:r>
        <w:rPr>
          <w:rFonts w:ascii="黑体" w:hAnsi="黑体" w:eastAsia="黑体"/>
          <w:bCs/>
          <w:sz w:val="24"/>
          <w:szCs w:val="24"/>
        </w:rPr>
        <w:t>合同的变更</w:t>
      </w:r>
      <w:r>
        <w:rPr>
          <w:rFonts w:hint="eastAsia" w:ascii="黑体" w:hAnsi="黑体" w:eastAsia="黑体"/>
          <w:bCs/>
          <w:sz w:val="24"/>
          <w:szCs w:val="24"/>
        </w:rPr>
        <w:t>与</w:t>
      </w:r>
      <w:r>
        <w:rPr>
          <w:rFonts w:ascii="黑体" w:hAnsi="黑体" w:eastAsia="黑体"/>
          <w:bCs/>
          <w:sz w:val="24"/>
          <w:szCs w:val="24"/>
        </w:rPr>
        <w:t>转让</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．任何对本合同的变更须通过书面形式进行。</w:t>
      </w:r>
    </w:p>
    <w:p>
      <w:pPr>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．未经甲方同意，乙方不得将合同义务的全部或者部分转让给第三人</w:t>
      </w:r>
      <w:r>
        <w:rPr>
          <w:rFonts w:ascii="仿宋" w:hAnsi="仿宋" w:eastAsia="仿宋"/>
          <w:sz w:val="24"/>
          <w:szCs w:val="24"/>
        </w:rPr>
        <w:t>。</w:t>
      </w:r>
    </w:p>
    <w:p>
      <w:pPr>
        <w:numPr>
          <w:ilvl w:val="0"/>
          <w:numId w:val="12"/>
        </w:numPr>
        <w:spacing w:line="360" w:lineRule="auto"/>
        <w:ind w:hanging="318"/>
        <w:jc w:val="left"/>
        <w:rPr>
          <w:rFonts w:ascii="黑体" w:hAnsi="黑体" w:eastAsia="黑体"/>
          <w:sz w:val="24"/>
          <w:szCs w:val="24"/>
        </w:rPr>
      </w:pPr>
      <w:r>
        <w:rPr>
          <w:rFonts w:ascii="黑体" w:hAnsi="黑体" w:eastAsia="黑体"/>
          <w:bCs/>
          <w:sz w:val="24"/>
          <w:szCs w:val="24"/>
        </w:rPr>
        <w:t>合同争议解决</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1、因</w:t>
      </w:r>
      <w:r>
        <w:rPr>
          <w:rFonts w:hint="eastAsia" w:ascii="仿宋" w:hAnsi="仿宋" w:eastAsia="仿宋"/>
          <w:sz w:val="24"/>
          <w:szCs w:val="24"/>
        </w:rPr>
        <w:t>产品</w:t>
      </w:r>
      <w:r>
        <w:rPr>
          <w:rFonts w:ascii="仿宋" w:hAnsi="仿宋" w:eastAsia="仿宋"/>
          <w:sz w:val="24"/>
          <w:szCs w:val="24"/>
        </w:rPr>
        <w:t>质量问题发生争议的，</w:t>
      </w:r>
      <w:r>
        <w:rPr>
          <w:rFonts w:hint="eastAsia" w:ascii="仿宋" w:hAnsi="仿宋" w:eastAsia="仿宋"/>
          <w:sz w:val="24"/>
          <w:szCs w:val="24"/>
        </w:rPr>
        <w:t>由</w:t>
      </w:r>
      <w:r>
        <w:rPr>
          <w:rFonts w:ascii="仿宋" w:hAnsi="仿宋" w:eastAsia="仿宋"/>
          <w:sz w:val="24"/>
          <w:szCs w:val="24"/>
        </w:rPr>
        <w:t>国家认可的质量检测机构对</w:t>
      </w:r>
      <w:r>
        <w:rPr>
          <w:rFonts w:hint="eastAsia" w:ascii="仿宋" w:hAnsi="仿宋" w:eastAsia="仿宋"/>
          <w:sz w:val="24"/>
          <w:szCs w:val="24"/>
        </w:rPr>
        <w:t>产品质量</w:t>
      </w:r>
      <w:r>
        <w:rPr>
          <w:rFonts w:ascii="仿宋" w:hAnsi="仿宋" w:eastAsia="仿宋"/>
          <w:sz w:val="24"/>
          <w:szCs w:val="24"/>
        </w:rPr>
        <w:t>进行鉴定。符合标准的，鉴定费由甲方承担；不符合标准的，鉴定费由乙方承担。</w:t>
      </w:r>
    </w:p>
    <w:p>
      <w:pPr>
        <w:spacing w:line="360" w:lineRule="auto"/>
        <w:ind w:firstLine="480" w:firstLineChars="200"/>
        <w:jc w:val="left"/>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双方因履行本合同发生争议的，可协商解决，无法协商解决的：</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□应向深圳国际仲裁院提请仲裁，仲裁适用仲裁时生效的规则，仲裁地为深圳。</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□应向甲方住所地有管辖权的人民法院提起诉讼。</w:t>
      </w:r>
    </w:p>
    <w:p>
      <w:pPr>
        <w:numPr>
          <w:ilvl w:val="0"/>
          <w:numId w:val="12"/>
        </w:numPr>
        <w:spacing w:line="360" w:lineRule="auto"/>
        <w:ind w:hanging="318"/>
        <w:jc w:val="left"/>
        <w:rPr>
          <w:rFonts w:hint="eastAsia" w:ascii="黑体" w:hAnsi="黑体" w:eastAsia="黑体"/>
          <w:sz w:val="24"/>
          <w:szCs w:val="24"/>
        </w:rPr>
      </w:pPr>
      <w:r>
        <w:rPr>
          <w:rFonts w:hint="eastAsia" w:ascii="黑体" w:hAnsi="黑体" w:eastAsia="黑体"/>
          <w:sz w:val="24"/>
          <w:szCs w:val="24"/>
        </w:rPr>
        <w:t>附则</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rPr>
        <w:t>1．本合同□无附件/□有附件，附件包括</w:t>
      </w:r>
      <w:r>
        <w:rPr>
          <w:rFonts w:hint="eastAsia" w:ascii="仿宋" w:hAnsi="仿宋" w:eastAsia="仿宋"/>
          <w:sz w:val="24"/>
          <w:szCs w:val="24"/>
          <w:u w:val="single"/>
        </w:rPr>
        <w:t xml:space="preserve">                   </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 xml:space="preserve">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2．本合同与招投标文件不一致的，以本合同内容为准。</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3．本合同自双方授权代表签字并盖章后生效。</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4．本合同一式</w:t>
      </w:r>
      <w:r>
        <w:rPr>
          <w:rFonts w:hint="eastAsia" w:ascii="仿宋" w:hAnsi="仿宋" w:eastAsia="仿宋"/>
          <w:sz w:val="24"/>
          <w:szCs w:val="24"/>
          <w:u w:val="single"/>
        </w:rPr>
        <w:t xml:space="preserve">     </w:t>
      </w:r>
      <w:r>
        <w:rPr>
          <w:rFonts w:hint="eastAsia" w:ascii="仿宋" w:hAnsi="仿宋" w:eastAsia="仿宋"/>
          <w:sz w:val="24"/>
          <w:szCs w:val="24"/>
        </w:rPr>
        <w:t>份，甲方执</w:t>
      </w:r>
      <w:r>
        <w:rPr>
          <w:rFonts w:hint="eastAsia" w:ascii="仿宋" w:hAnsi="仿宋" w:eastAsia="仿宋"/>
          <w:sz w:val="24"/>
          <w:szCs w:val="24"/>
          <w:u w:val="single"/>
        </w:rPr>
        <w:t xml:space="preserve">    </w:t>
      </w:r>
      <w:r>
        <w:rPr>
          <w:rFonts w:hint="eastAsia" w:ascii="仿宋" w:hAnsi="仿宋" w:eastAsia="仿宋"/>
          <w:sz w:val="24"/>
          <w:szCs w:val="24"/>
        </w:rPr>
        <w:t>份，乙方执</w:t>
      </w:r>
      <w:r>
        <w:rPr>
          <w:rFonts w:hint="eastAsia" w:ascii="仿宋" w:hAnsi="仿宋" w:eastAsia="仿宋"/>
          <w:sz w:val="24"/>
          <w:szCs w:val="24"/>
          <w:u w:val="single"/>
        </w:rPr>
        <w:t xml:space="preserve">    </w:t>
      </w:r>
      <w:r>
        <w:rPr>
          <w:rFonts w:hint="eastAsia" w:ascii="仿宋" w:hAnsi="仿宋" w:eastAsia="仿宋"/>
          <w:sz w:val="24"/>
          <w:szCs w:val="24"/>
        </w:rPr>
        <w:t>份，具有同等法律效力。</w:t>
      </w:r>
    </w:p>
    <w:p>
      <w:pPr>
        <w:spacing w:line="360" w:lineRule="auto"/>
        <w:ind w:firstLine="480" w:firstLineChars="200"/>
        <w:jc w:val="left"/>
        <w:rPr>
          <w:rFonts w:hint="eastAsia" w:ascii="仿宋" w:hAnsi="仿宋" w:eastAsia="仿宋"/>
          <w:sz w:val="24"/>
          <w:szCs w:val="24"/>
        </w:rPr>
      </w:pPr>
    </w:p>
    <w:p>
      <w:pPr>
        <w:spacing w:line="360" w:lineRule="auto"/>
        <w:jc w:val="left"/>
        <w:rPr>
          <w:rFonts w:hint="eastAsia" w:ascii="仿宋" w:hAnsi="仿宋" w:eastAsia="仿宋"/>
          <w:sz w:val="24"/>
          <w:szCs w:val="24"/>
          <w:u w:val="single"/>
        </w:rPr>
      </w:pPr>
      <w:r>
        <w:rPr>
          <w:rFonts w:hint="eastAsia" w:ascii="仿宋" w:hAnsi="仿宋" w:eastAsia="仿宋"/>
          <w:sz w:val="24"/>
          <w:szCs w:val="24"/>
          <w:u w:val="single"/>
        </w:rPr>
        <w:t xml:space="preserve">  补充约定                                                             </w:t>
      </w:r>
    </w:p>
    <w:p>
      <w:pPr>
        <w:spacing w:line="360" w:lineRule="auto"/>
        <w:jc w:val="left"/>
        <w:rPr>
          <w:rFonts w:hint="eastAsia" w:ascii="仿宋" w:hAnsi="仿宋" w:eastAsia="仿宋"/>
          <w:sz w:val="24"/>
          <w:szCs w:val="24"/>
          <w:u w:val="single"/>
        </w:rPr>
      </w:pP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hint="eastAsia" w:ascii="仿宋" w:hAnsi="仿宋" w:eastAsia="仿宋"/>
          <w:sz w:val="24"/>
          <w:szCs w:val="24"/>
          <w:u w:val="single"/>
        </w:rPr>
      </w:pP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ind w:firstLine="480" w:firstLineChars="200"/>
        <w:jc w:val="left"/>
        <w:rPr>
          <w:rFonts w:hint="eastAsia" w:ascii="黑体" w:hAnsi="黑体" w:eastAsia="黑体"/>
          <w:sz w:val="24"/>
          <w:szCs w:val="24"/>
        </w:rPr>
      </w:pPr>
      <w:r>
        <w:rPr>
          <w:rFonts w:hint="eastAsia" w:ascii="黑体" w:hAnsi="黑体" w:eastAsia="黑体"/>
          <w:sz w:val="24"/>
          <w:szCs w:val="24"/>
        </w:rPr>
        <w:t>甲方（盖章）：</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法定代表人或授权代表签字：</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p>
    <w:p>
      <w:pPr>
        <w:spacing w:line="360" w:lineRule="auto"/>
        <w:jc w:val="left"/>
        <w:rPr>
          <w:rFonts w:hint="eastAsia" w:ascii="仿宋" w:hAnsi="仿宋" w:eastAsia="仿宋"/>
          <w:sz w:val="24"/>
          <w:szCs w:val="24"/>
        </w:rPr>
      </w:pPr>
    </w:p>
    <w:p>
      <w:pPr>
        <w:spacing w:line="360" w:lineRule="auto"/>
        <w:ind w:firstLine="480" w:firstLineChars="200"/>
        <w:jc w:val="left"/>
        <w:rPr>
          <w:rFonts w:hint="eastAsia" w:ascii="黑体" w:hAnsi="黑体" w:eastAsia="黑体"/>
          <w:sz w:val="24"/>
          <w:szCs w:val="24"/>
        </w:rPr>
      </w:pPr>
      <w:r>
        <w:rPr>
          <w:rFonts w:hint="eastAsia" w:ascii="黑体" w:hAnsi="黑体" w:eastAsia="黑体"/>
          <w:sz w:val="24"/>
          <w:szCs w:val="24"/>
        </w:rPr>
        <w:t>乙方（盖章）：</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法定代表人或授权代表签字：</w:t>
      </w:r>
    </w:p>
    <w:p>
      <w:pPr>
        <w:spacing w:line="360" w:lineRule="auto"/>
        <w:ind w:firstLine="480" w:firstLineChars="200"/>
        <w:jc w:val="left"/>
        <w:rPr>
          <w:rFonts w:hint="default"/>
          <w:sz w:val="24"/>
          <w:szCs w:val="24"/>
          <w:lang w:val="en-US" w:eastAsia="zh-CN"/>
        </w:rPr>
      </w:pPr>
      <w:r>
        <w:rPr>
          <w:rFonts w:hint="eastAsia" w:ascii="仿宋" w:hAnsi="仿宋" w:eastAsia="仿宋"/>
          <w:sz w:val="24"/>
          <w:szCs w:val="24"/>
        </w:rPr>
        <w:t>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5130"/>
      <w:rPr>
        <w:rFonts w:ascii="宋体" w:hAnsi="宋体" w:eastAsia="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3A98"/>
    <w:multiLevelType w:val="singleLevel"/>
    <w:tmpl w:val="A0F63A98"/>
    <w:lvl w:ilvl="0" w:tentative="0">
      <w:start w:val="1"/>
      <w:numFmt w:val="decimal"/>
      <w:lvlText w:val="%1."/>
      <w:lvlJc w:val="left"/>
      <w:pPr>
        <w:ind w:left="425" w:hanging="425"/>
      </w:pPr>
      <w:rPr>
        <w:rFonts w:hint="default"/>
      </w:rPr>
    </w:lvl>
  </w:abstractNum>
  <w:abstractNum w:abstractNumId="1">
    <w:nsid w:val="CC78B13A"/>
    <w:multiLevelType w:val="singleLevel"/>
    <w:tmpl w:val="CC78B13A"/>
    <w:lvl w:ilvl="0" w:tentative="0">
      <w:start w:val="1"/>
      <w:numFmt w:val="decimal"/>
      <w:lvlText w:val="%1."/>
      <w:lvlJc w:val="left"/>
      <w:pPr>
        <w:ind w:left="425" w:hanging="425"/>
      </w:pPr>
      <w:rPr>
        <w:rFonts w:hint="default"/>
      </w:rPr>
    </w:lvl>
  </w:abstractNum>
  <w:abstractNum w:abstractNumId="2">
    <w:nsid w:val="CFBA6071"/>
    <w:multiLevelType w:val="singleLevel"/>
    <w:tmpl w:val="CFBA6071"/>
    <w:lvl w:ilvl="0" w:tentative="0">
      <w:start w:val="1"/>
      <w:numFmt w:val="decimal"/>
      <w:lvlText w:val="%1."/>
      <w:lvlJc w:val="left"/>
      <w:pPr>
        <w:ind w:left="425" w:hanging="425"/>
      </w:pPr>
      <w:rPr>
        <w:rFonts w:hint="default"/>
      </w:rPr>
    </w:lvl>
  </w:abstractNum>
  <w:abstractNum w:abstractNumId="3">
    <w:nsid w:val="D75FC471"/>
    <w:multiLevelType w:val="singleLevel"/>
    <w:tmpl w:val="D75FC471"/>
    <w:lvl w:ilvl="0" w:tentative="0">
      <w:start w:val="1"/>
      <w:numFmt w:val="decimal"/>
      <w:lvlText w:val="%1."/>
      <w:lvlJc w:val="left"/>
      <w:pPr>
        <w:ind w:left="425" w:hanging="425"/>
      </w:pPr>
      <w:rPr>
        <w:rFonts w:hint="default"/>
      </w:rPr>
    </w:lvl>
  </w:abstractNum>
  <w:abstractNum w:abstractNumId="4">
    <w:nsid w:val="E9955A5D"/>
    <w:multiLevelType w:val="singleLevel"/>
    <w:tmpl w:val="E9955A5D"/>
    <w:lvl w:ilvl="0" w:tentative="0">
      <w:start w:val="1"/>
      <w:numFmt w:val="decimal"/>
      <w:lvlText w:val="%1."/>
      <w:lvlJc w:val="left"/>
      <w:pPr>
        <w:ind w:left="425" w:hanging="425"/>
      </w:pPr>
      <w:rPr>
        <w:rFonts w:hint="default"/>
      </w:rPr>
    </w:lvl>
  </w:abstractNum>
  <w:abstractNum w:abstractNumId="5">
    <w:nsid w:val="FD2CBA8D"/>
    <w:multiLevelType w:val="singleLevel"/>
    <w:tmpl w:val="FD2CBA8D"/>
    <w:lvl w:ilvl="0" w:tentative="0">
      <w:start w:val="1"/>
      <w:numFmt w:val="decimal"/>
      <w:lvlText w:val="%1."/>
      <w:lvlJc w:val="left"/>
      <w:pPr>
        <w:ind w:left="425" w:hanging="425"/>
      </w:pPr>
      <w:rPr>
        <w:rFonts w:hint="default"/>
      </w:rPr>
    </w:lvl>
  </w:abstractNum>
  <w:abstractNum w:abstractNumId="6">
    <w:nsid w:val="0F24BA13"/>
    <w:multiLevelType w:val="singleLevel"/>
    <w:tmpl w:val="0F24BA13"/>
    <w:lvl w:ilvl="0" w:tentative="0">
      <w:start w:val="1"/>
      <w:numFmt w:val="decimal"/>
      <w:lvlText w:val="%1."/>
      <w:lvlJc w:val="left"/>
      <w:pPr>
        <w:ind w:left="425" w:hanging="425"/>
      </w:pPr>
      <w:rPr>
        <w:rFonts w:hint="default"/>
      </w:rPr>
    </w:lvl>
  </w:abstractNum>
  <w:abstractNum w:abstractNumId="7">
    <w:nsid w:val="1DCF90A7"/>
    <w:multiLevelType w:val="singleLevel"/>
    <w:tmpl w:val="1DCF90A7"/>
    <w:lvl w:ilvl="0" w:tentative="0">
      <w:start w:val="1"/>
      <w:numFmt w:val="decimal"/>
      <w:lvlText w:val="%1."/>
      <w:lvlJc w:val="left"/>
      <w:pPr>
        <w:ind w:left="425" w:hanging="425"/>
      </w:pPr>
      <w:rPr>
        <w:rFonts w:hint="default"/>
      </w:rPr>
    </w:lvl>
  </w:abstractNum>
  <w:abstractNum w:abstractNumId="8">
    <w:nsid w:val="3960BFA5"/>
    <w:multiLevelType w:val="singleLevel"/>
    <w:tmpl w:val="3960BFA5"/>
    <w:lvl w:ilvl="0" w:tentative="0">
      <w:start w:val="1"/>
      <w:numFmt w:val="decimal"/>
      <w:lvlText w:val="%1."/>
      <w:lvlJc w:val="left"/>
      <w:pPr>
        <w:ind w:left="425" w:hanging="425"/>
      </w:pPr>
      <w:rPr>
        <w:rFonts w:hint="default"/>
      </w:rPr>
    </w:lvl>
  </w:abstractNum>
  <w:abstractNum w:abstractNumId="9">
    <w:nsid w:val="4849D321"/>
    <w:multiLevelType w:val="singleLevel"/>
    <w:tmpl w:val="4849D321"/>
    <w:lvl w:ilvl="0" w:tentative="0">
      <w:start w:val="1"/>
      <w:numFmt w:val="decimal"/>
      <w:lvlText w:val="%1."/>
      <w:lvlJc w:val="left"/>
      <w:pPr>
        <w:ind w:left="425" w:hanging="425"/>
      </w:pPr>
      <w:rPr>
        <w:rFonts w:hint="default"/>
      </w:rPr>
    </w:lvl>
  </w:abstractNum>
  <w:abstractNum w:abstractNumId="10">
    <w:nsid w:val="4B1927DF"/>
    <w:multiLevelType w:val="singleLevel"/>
    <w:tmpl w:val="4B1927DF"/>
    <w:lvl w:ilvl="0" w:tentative="0">
      <w:start w:val="1"/>
      <w:numFmt w:val="decimal"/>
      <w:lvlText w:val="%1."/>
      <w:lvlJc w:val="left"/>
      <w:pPr>
        <w:ind w:left="425" w:hanging="425"/>
      </w:pPr>
      <w:rPr>
        <w:rFonts w:hint="default"/>
      </w:rPr>
    </w:lvl>
  </w:abstractNum>
  <w:abstractNum w:abstractNumId="11">
    <w:nsid w:val="67B969DD"/>
    <w:multiLevelType w:val="multilevel"/>
    <w:tmpl w:val="67B969DD"/>
    <w:lvl w:ilvl="0" w:tentative="0">
      <w:start w:val="1"/>
      <w:numFmt w:val="japaneseCounting"/>
      <w:lvlText w:val="第%1条"/>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7"/>
  </w:num>
  <w:num w:numId="4">
    <w:abstractNumId w:val="0"/>
  </w:num>
  <w:num w:numId="5">
    <w:abstractNumId w:val="2"/>
  </w:num>
  <w:num w:numId="6">
    <w:abstractNumId w:val="5"/>
  </w:num>
  <w:num w:numId="7">
    <w:abstractNumId w:val="1"/>
  </w:num>
  <w:num w:numId="8">
    <w:abstractNumId w:val="9"/>
  </w:num>
  <w:num w:numId="9">
    <w:abstractNumId w:val="10"/>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WExMzdhZmQyYmFhNmVhODM3NWRlYzJiNDkxMWEifQ=="/>
  </w:docVars>
  <w:rsids>
    <w:rsidRoot w:val="5EF6340A"/>
    <w:rsid w:val="020D6BCE"/>
    <w:rsid w:val="039968F4"/>
    <w:rsid w:val="05482261"/>
    <w:rsid w:val="07224A50"/>
    <w:rsid w:val="077A312A"/>
    <w:rsid w:val="0AF305A4"/>
    <w:rsid w:val="0C1B4C6E"/>
    <w:rsid w:val="0C786AA5"/>
    <w:rsid w:val="0CAF7E46"/>
    <w:rsid w:val="0F8026E5"/>
    <w:rsid w:val="10831E63"/>
    <w:rsid w:val="11812847"/>
    <w:rsid w:val="13200E76"/>
    <w:rsid w:val="14DD5C44"/>
    <w:rsid w:val="157955E3"/>
    <w:rsid w:val="16587174"/>
    <w:rsid w:val="18033B13"/>
    <w:rsid w:val="1B7560A4"/>
    <w:rsid w:val="1D417544"/>
    <w:rsid w:val="21116D83"/>
    <w:rsid w:val="22FB2D4B"/>
    <w:rsid w:val="26BE19EF"/>
    <w:rsid w:val="27445B99"/>
    <w:rsid w:val="29053906"/>
    <w:rsid w:val="2B58543C"/>
    <w:rsid w:val="2B7638CD"/>
    <w:rsid w:val="2B852ADC"/>
    <w:rsid w:val="30D24F69"/>
    <w:rsid w:val="32303786"/>
    <w:rsid w:val="32DF78C4"/>
    <w:rsid w:val="3411756B"/>
    <w:rsid w:val="34B63D06"/>
    <w:rsid w:val="34CA69CE"/>
    <w:rsid w:val="353E374D"/>
    <w:rsid w:val="38345F83"/>
    <w:rsid w:val="3A4B228D"/>
    <w:rsid w:val="3B7D37CF"/>
    <w:rsid w:val="3D10410A"/>
    <w:rsid w:val="3DDA54DF"/>
    <w:rsid w:val="3F650CEB"/>
    <w:rsid w:val="400908BE"/>
    <w:rsid w:val="42B775C7"/>
    <w:rsid w:val="465105F0"/>
    <w:rsid w:val="46A86DA8"/>
    <w:rsid w:val="487877F8"/>
    <w:rsid w:val="48AE40C6"/>
    <w:rsid w:val="48F354FB"/>
    <w:rsid w:val="496D171C"/>
    <w:rsid w:val="49964C07"/>
    <w:rsid w:val="4B2376FD"/>
    <w:rsid w:val="4BA74815"/>
    <w:rsid w:val="4BE34F89"/>
    <w:rsid w:val="4DC8028C"/>
    <w:rsid w:val="4FFF435B"/>
    <w:rsid w:val="519F4922"/>
    <w:rsid w:val="52E730B6"/>
    <w:rsid w:val="557A17BE"/>
    <w:rsid w:val="55EA33B8"/>
    <w:rsid w:val="56530F5D"/>
    <w:rsid w:val="573457EB"/>
    <w:rsid w:val="575E405D"/>
    <w:rsid w:val="578F5E7F"/>
    <w:rsid w:val="5A447CEA"/>
    <w:rsid w:val="5AFB7D2F"/>
    <w:rsid w:val="5B8C73EB"/>
    <w:rsid w:val="5D3143FC"/>
    <w:rsid w:val="5D611BB2"/>
    <w:rsid w:val="5EA83B0B"/>
    <w:rsid w:val="5EF6340A"/>
    <w:rsid w:val="61191338"/>
    <w:rsid w:val="631A1780"/>
    <w:rsid w:val="65363817"/>
    <w:rsid w:val="6588095B"/>
    <w:rsid w:val="6643137C"/>
    <w:rsid w:val="671F3C86"/>
    <w:rsid w:val="674B7AEC"/>
    <w:rsid w:val="68FC1BD8"/>
    <w:rsid w:val="69631DC9"/>
    <w:rsid w:val="69A027AA"/>
    <w:rsid w:val="6B052193"/>
    <w:rsid w:val="6FAA26EA"/>
    <w:rsid w:val="700F0344"/>
    <w:rsid w:val="71F80EDE"/>
    <w:rsid w:val="744228E5"/>
    <w:rsid w:val="75596138"/>
    <w:rsid w:val="75864E87"/>
    <w:rsid w:val="79BD3192"/>
    <w:rsid w:val="79EE7B06"/>
    <w:rsid w:val="7A312ADE"/>
    <w:rsid w:val="7ABE407A"/>
    <w:rsid w:val="7CCE77E8"/>
    <w:rsid w:val="7F19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b/>
      <w:bCs/>
      <w:sz w:val="24"/>
    </w:rPr>
  </w:style>
  <w:style w:type="paragraph" w:styleId="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6">
    <w:name w:val="footer"/>
    <w:basedOn w:val="1"/>
    <w:qFormat/>
    <w:uiPriority w:val="99"/>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4553</Words>
  <Characters>4720</Characters>
  <Lines>0</Lines>
  <Paragraphs>0</Paragraphs>
  <TotalTime>2</TotalTime>
  <ScaleCrop>false</ScaleCrop>
  <LinksUpToDate>false</LinksUpToDate>
  <CharactersWithSpaces>5328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2022-05-31T09:13:00Z</dcterms:created>
  <dc:creator>清</dc:creator>
  <cp:lastModifiedBy>珞</cp:lastModifiedBy>
  <dcterms:modified xsi:type="dcterms:W3CDTF">2022-11-04T07:18:45Z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18B559CBB3814A44A607048EF709B9CE</vt:lpwstr>
  </property>
</Properties>
</file>